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DE6138">
      <w:pPr>
        <w:spacing w:line="580" w:lineRule="exact"/>
        <w:jc w:val="center"/>
        <w:rPr>
          <w:rFonts w:hint="eastAsia" w:ascii="Times New Roman" w:hAnsi="Times New Roman" w:eastAsia="方正小标宋简体" w:cs="方正小标宋简体"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</w:rPr>
        <w:t>望亭镇202</w:t>
      </w: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lang w:val="en-US" w:eastAsia="zh-CN"/>
        </w:rPr>
        <w:t>5</w:t>
      </w: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</w:rPr>
        <w:t>年政府信息公开工作年度报告</w:t>
      </w:r>
    </w:p>
    <w:p w14:paraId="5664F851">
      <w:pPr>
        <w:spacing w:line="580" w:lineRule="exact"/>
        <w:rPr>
          <w:rFonts w:hint="default" w:ascii="Times New Roman" w:hAnsi="Times New Roman" w:eastAsia="黑体" w:cs="Times New Roman"/>
          <w:color w:val="000000"/>
        </w:rPr>
      </w:pPr>
    </w:p>
    <w:p w14:paraId="29B980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黑体" w:cs="Times New Roman"/>
          <w:color w:val="000000"/>
        </w:rPr>
      </w:pPr>
      <w:r>
        <w:rPr>
          <w:rFonts w:hint="default" w:ascii="Times New Roman" w:hAnsi="Times New Roman" w:eastAsia="黑体" w:cs="Times New Roman"/>
          <w:color w:val="000000"/>
        </w:rPr>
        <w:t>一、总体情况</w:t>
      </w:r>
    </w:p>
    <w:p w14:paraId="049BA8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shd w:val="clear" w:color="auto" w:fill="FFFFFF"/>
        </w:rPr>
        <w:t>本报告是根据《中华人民共和国政府信息公开条例》（以下简称《条例》）要求，由苏州市相城区望亭镇人民政府编制的202</w:t>
      </w:r>
      <w:r>
        <w:rPr>
          <w:rFonts w:hint="eastAsia" w:ascii="Times New Roman" w:hAnsi="Times New Roman" w:cs="Times New Roman"/>
          <w:shd w:val="clear" w:color="auto" w:fill="FFFFFF"/>
          <w:lang w:val="en-US" w:eastAsia="zh-CN"/>
        </w:rPr>
        <w:t>5</w:t>
      </w:r>
      <w:r>
        <w:rPr>
          <w:rFonts w:hint="default" w:ascii="Times New Roman" w:hAnsi="Times New Roman" w:cs="Times New Roman"/>
          <w:shd w:val="clear" w:color="auto" w:fill="FFFFFF"/>
        </w:rPr>
        <w:t>年度政府信息公开年度报告。望亭镇在区委区政府的指导下，</w:t>
      </w:r>
      <w:r>
        <w:rPr>
          <w:rFonts w:hint="default" w:ascii="Times New Roman" w:hAnsi="Times New Roman" w:cs="Times New Roman"/>
          <w:color w:val="000000"/>
        </w:rPr>
        <w:t>坚持依法行政，突出重点领域信息公开力度，切实保障了人民群众的知情权、参与权和监督权。</w:t>
      </w:r>
    </w:p>
    <w:p w14:paraId="3EC5B24D">
      <w:pPr>
        <w:spacing w:line="580" w:lineRule="exact"/>
        <w:ind w:firstLine="316" w:firstLineChars="100"/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黑体" w:cs="Times New Roman"/>
          <w:color w:val="000000"/>
        </w:rPr>
        <w:t xml:space="preserve">   二、主动公开政府信息情况</w:t>
      </w:r>
    </w:p>
    <w:tbl>
      <w:tblPr>
        <w:tblStyle w:val="5"/>
        <w:tblW w:w="814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650"/>
        <w:gridCol w:w="1896"/>
        <w:gridCol w:w="1713"/>
        <w:gridCol w:w="1881"/>
      </w:tblGrid>
      <w:tr w14:paraId="4FC58A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8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EDDB2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第二十条第（一）项</w:t>
            </w:r>
          </w:p>
        </w:tc>
      </w:tr>
      <w:tr w14:paraId="22B52C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F482D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189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68D1F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本年新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制作数量</w:t>
            </w:r>
          </w:p>
        </w:tc>
        <w:tc>
          <w:tcPr>
            <w:tcW w:w="171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1DF94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本年新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公开数量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22E0B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对外公开总数量</w:t>
            </w:r>
          </w:p>
        </w:tc>
      </w:tr>
      <w:tr w14:paraId="355EFE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01FA4">
            <w:pPr>
              <w:widowControl/>
              <w:spacing w:line="240" w:lineRule="exac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规章</w:t>
            </w:r>
          </w:p>
        </w:tc>
        <w:tc>
          <w:tcPr>
            <w:tcW w:w="18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1275A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E2B22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698A7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</w:t>
            </w:r>
          </w:p>
        </w:tc>
      </w:tr>
      <w:tr w14:paraId="4B59BD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27EC9">
            <w:pPr>
              <w:widowControl/>
              <w:spacing w:line="240" w:lineRule="exac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规范性文件</w:t>
            </w:r>
          </w:p>
        </w:tc>
        <w:tc>
          <w:tcPr>
            <w:tcW w:w="18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74D31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50F81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9637A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</w:t>
            </w:r>
          </w:p>
        </w:tc>
      </w:tr>
      <w:tr w14:paraId="39467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4604C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第二十条第（五）项</w:t>
            </w:r>
          </w:p>
        </w:tc>
      </w:tr>
      <w:tr w14:paraId="587201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5F57E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549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2A6C6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本年处理决定数量</w:t>
            </w:r>
          </w:p>
        </w:tc>
      </w:tr>
      <w:tr w14:paraId="56987F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B80BA5F">
            <w:pPr>
              <w:widowControl/>
              <w:spacing w:line="240" w:lineRule="exac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行政许可</w:t>
            </w:r>
          </w:p>
        </w:tc>
        <w:tc>
          <w:tcPr>
            <w:tcW w:w="549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AE674C6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2696</w:t>
            </w:r>
          </w:p>
        </w:tc>
      </w:tr>
      <w:tr w14:paraId="45EFD5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8790D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549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67AF1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本年处理决定数量</w:t>
            </w:r>
          </w:p>
        </w:tc>
      </w:tr>
      <w:tr w14:paraId="28BE73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77B8627">
            <w:pPr>
              <w:widowControl/>
              <w:spacing w:line="240" w:lineRule="exac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行政处罚</w:t>
            </w:r>
          </w:p>
        </w:tc>
        <w:tc>
          <w:tcPr>
            <w:tcW w:w="549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68252B8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44</w:t>
            </w:r>
          </w:p>
        </w:tc>
      </w:tr>
      <w:tr w14:paraId="1860FB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B02A53B">
            <w:pPr>
              <w:widowControl/>
              <w:spacing w:line="240" w:lineRule="exac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行政强制</w:t>
            </w:r>
          </w:p>
        </w:tc>
        <w:tc>
          <w:tcPr>
            <w:tcW w:w="549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E91F41E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</w:t>
            </w:r>
          </w:p>
        </w:tc>
      </w:tr>
      <w:tr w14:paraId="47FECF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45795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第二十条第（八）项</w:t>
            </w:r>
          </w:p>
        </w:tc>
      </w:tr>
      <w:tr w14:paraId="767140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EF316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5490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5F1C6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本年收费金额（单位：万元）</w:t>
            </w:r>
          </w:p>
        </w:tc>
      </w:tr>
      <w:tr w14:paraId="0960C2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F3AAE">
            <w:pPr>
              <w:widowControl/>
              <w:spacing w:line="240" w:lineRule="exac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行政事业性收费</w:t>
            </w:r>
          </w:p>
        </w:tc>
        <w:tc>
          <w:tcPr>
            <w:tcW w:w="5490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47E60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803.55</w:t>
            </w:r>
          </w:p>
        </w:tc>
      </w:tr>
    </w:tbl>
    <w:p w14:paraId="40F2D5CB">
      <w:pPr>
        <w:widowControl/>
        <w:shd w:val="clear" w:color="auto" w:fill="FFFFFF"/>
        <w:spacing w:line="580" w:lineRule="exact"/>
        <w:ind w:firstLine="632" w:firstLineChars="200"/>
        <w:rPr>
          <w:rFonts w:hint="default" w:ascii="Times New Roman" w:hAnsi="Times New Roman" w:eastAsia="黑体" w:cs="Times New Roman"/>
          <w:color w:val="000000"/>
        </w:rPr>
      </w:pPr>
    </w:p>
    <w:p w14:paraId="17DB4B74">
      <w:pPr>
        <w:widowControl/>
        <w:shd w:val="clear" w:color="auto" w:fill="FFFFFF"/>
        <w:spacing w:line="580" w:lineRule="exact"/>
        <w:ind w:firstLine="632" w:firstLineChars="200"/>
        <w:rPr>
          <w:rFonts w:hint="default" w:ascii="Times New Roman" w:hAnsi="Times New Roman" w:eastAsia="黑体" w:cs="Times New Roman"/>
          <w:color w:val="000000"/>
        </w:rPr>
      </w:pPr>
    </w:p>
    <w:p w14:paraId="579B8953">
      <w:pPr>
        <w:widowControl/>
        <w:shd w:val="clear" w:color="auto" w:fill="FFFFFF"/>
        <w:spacing w:line="580" w:lineRule="exact"/>
        <w:ind w:firstLine="632" w:firstLineChars="200"/>
        <w:rPr>
          <w:rFonts w:hint="default" w:ascii="Times New Roman" w:hAnsi="Times New Roman" w:eastAsia="黑体" w:cs="Times New Roman"/>
          <w:color w:val="000000"/>
        </w:rPr>
      </w:pPr>
      <w:r>
        <w:rPr>
          <w:rFonts w:hint="default" w:ascii="Times New Roman" w:hAnsi="Times New Roman" w:eastAsia="黑体" w:cs="Times New Roman"/>
          <w:color w:val="000000"/>
        </w:rPr>
        <w:t>三、收到和处理政府信息公开申请情况</w:t>
      </w:r>
    </w:p>
    <w:tbl>
      <w:tblPr>
        <w:tblStyle w:val="5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5"/>
        <w:gridCol w:w="941"/>
        <w:gridCol w:w="3211"/>
        <w:gridCol w:w="810"/>
        <w:gridCol w:w="656"/>
        <w:gridCol w:w="744"/>
        <w:gridCol w:w="606"/>
        <w:gridCol w:w="630"/>
        <w:gridCol w:w="624"/>
        <w:gridCol w:w="761"/>
      </w:tblGrid>
      <w:tr w14:paraId="1CE1592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917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F0307B3">
            <w:pPr>
              <w:widowControl/>
              <w:spacing w:line="3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楷体" w:cs="Times New Roman"/>
                <w:sz w:val="20"/>
                <w:szCs w:val="20"/>
                <w:lang w:bidi="ar"/>
              </w:rPr>
              <w:t>（本列数据的勾稽关系为：第一项加第二项之和，等于第三项加第四项之和）</w:t>
            </w:r>
          </w:p>
        </w:tc>
        <w:tc>
          <w:tcPr>
            <w:tcW w:w="4831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37348A5">
            <w:pPr>
              <w:widowControl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申请人情况</w:t>
            </w:r>
          </w:p>
        </w:tc>
      </w:tr>
      <w:tr w14:paraId="22E90E3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91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BDC47F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331D670">
            <w:pPr>
              <w:widowControl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自然人</w:t>
            </w:r>
          </w:p>
        </w:tc>
        <w:tc>
          <w:tcPr>
            <w:tcW w:w="326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2EA0110">
            <w:pPr>
              <w:widowControl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法人或其他组织</w:t>
            </w:r>
          </w:p>
        </w:tc>
        <w:tc>
          <w:tcPr>
            <w:tcW w:w="761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CC8B795">
            <w:pPr>
              <w:widowControl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总计</w:t>
            </w:r>
          </w:p>
        </w:tc>
      </w:tr>
      <w:tr w14:paraId="497DE24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5" w:hRule="exact"/>
          <w:jc w:val="center"/>
        </w:trPr>
        <w:tc>
          <w:tcPr>
            <w:tcW w:w="491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191A48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A3AE03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BCEE0D9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商业</w:t>
            </w:r>
          </w:p>
          <w:p w14:paraId="3141843B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企业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B443223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科研</w:t>
            </w:r>
          </w:p>
          <w:p w14:paraId="5FF55F48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机构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CA3A77B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社会公益组织</w:t>
            </w:r>
          </w:p>
        </w:tc>
        <w:tc>
          <w:tcPr>
            <w:tcW w:w="6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5234E61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法律服务机构</w:t>
            </w:r>
          </w:p>
        </w:tc>
        <w:tc>
          <w:tcPr>
            <w:tcW w:w="62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7CB584C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其他</w:t>
            </w:r>
          </w:p>
        </w:tc>
        <w:tc>
          <w:tcPr>
            <w:tcW w:w="761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E92ACA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17E979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491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9F03DA4">
            <w:pPr>
              <w:widowControl/>
              <w:spacing w:line="30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一、本年新收政府信息公开申请数量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F70E63D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2E32DB1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E1351C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CF07C5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3F3E1A7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D3FF13F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BAB9E35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 w:bidi="ar"/>
              </w:rPr>
              <w:t>1</w:t>
            </w:r>
          </w:p>
        </w:tc>
      </w:tr>
      <w:tr w14:paraId="65DA3E8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491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4F09D81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二、上年结转政府信息公开申请数量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F82916C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734A226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C92EA1C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1514F78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AD509E3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0E6725D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4CBD17C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12CFE5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76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D601C8B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三、本年度办理结果</w:t>
            </w:r>
          </w:p>
        </w:tc>
        <w:tc>
          <w:tcPr>
            <w:tcW w:w="415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EBF36DA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（一）予以公开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F908D84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14B7660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F74B5FE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1543407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FEDEC6D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499462B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540CC2B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560EB9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6B92B49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01702A4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（二）部分公开</w:t>
            </w:r>
            <w:r>
              <w:rPr>
                <w:rFonts w:hint="default" w:ascii="Times New Roman" w:hAnsi="Times New Roman" w:eastAsia="楷体" w:cs="Times New Roman"/>
                <w:sz w:val="20"/>
                <w:szCs w:val="20"/>
                <w:lang w:bidi="ar"/>
              </w:rPr>
              <w:t>（区分处理的，只计这一情形，不计其他情形）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D0C810A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2FBD895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42DA1D2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6AD9163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20B4571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5819CA8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A45325D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FE2BDD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FD64BAD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19EF5E5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（三）不予公开</w:t>
            </w:r>
          </w:p>
        </w:tc>
        <w:tc>
          <w:tcPr>
            <w:tcW w:w="32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62A738E6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1.属于国家秘密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A2CEB5B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8D949C1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9A2AAB9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D5BF03D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9DB2009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E128FCF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E1B0715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FF1E72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5AD2815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FF33280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1BBDB413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2.其他法律行政法规禁止公开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8FC1754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2EC32E8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91AE3C9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1B261FC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B83DBC1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CC8BC66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6DA74A0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54A0F1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954BC3C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A8BE808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4A23CBB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3.危及“三安全一稳定”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7D02A6A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6479E8C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2EFF160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EC92A33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E176111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4327581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BA49326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DAE940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29DD080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FD5005D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7ED1E20C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4.保护第三方合法权益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F5B853C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F294D1A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CB79F41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10285EC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FBD3019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46599E3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6D274A2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8F9C3F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B1B8CCE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60954DC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1F8480B3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5.属于三类内部事务信息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5EB82AF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A493A2B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0761CC9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7F7FEAF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2CB550C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EDB9EBE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A2953A8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7B9913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1612A23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DE04154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66EDD551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6.属于四类过程性信息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F538269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CFA3720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3E5093C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01BA070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3C12B6F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AAA6B5B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7E9179A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64C3C3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68124E5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DBC75FE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1AE0918A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7.属于行政执法案卷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E7E8B99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0F2701A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B1B6AD5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A0E4B46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8F05468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DC93BD9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B2CC2C8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B59E69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888E551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971D972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06511AA9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8.属于行政查询事项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7C2FE79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C49CE22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7F9C9A4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CA6E174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D3CD55E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4286972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BEF3D5E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D35C59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45D5BF0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C6D6874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（四）无法提供</w:t>
            </w:r>
          </w:p>
        </w:tc>
        <w:tc>
          <w:tcPr>
            <w:tcW w:w="32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29A8B3B8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1.本机关不掌握相关政府信息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1FDAEAE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F14AE8C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99CF671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B2E572D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75EFF15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16E869A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28B9B2B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 w:bidi="ar"/>
              </w:rPr>
              <w:t>1</w:t>
            </w:r>
          </w:p>
        </w:tc>
      </w:tr>
      <w:tr w14:paraId="2D8D57F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AF7F457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E2D28C4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58728197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2.没有现成信息需要另行制作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36C9213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DE39261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4111182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747FD4C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BC04BBF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4AE480F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E160DBF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A6CF06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CBF58B3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C3C955B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1B3F9350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3.补正后申请内容仍不明确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96B9CE0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C442B3E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6E15116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7AEC2F4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D96A711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6016BBD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A87AE03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6D23E6A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2B1C450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DB93D47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（五）不予处理</w:t>
            </w:r>
          </w:p>
        </w:tc>
        <w:tc>
          <w:tcPr>
            <w:tcW w:w="32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8015E2C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1.信访举报投诉类申请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1A3FD69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50161BD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8FF217E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F10D1CC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4BC9E06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97A00B8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02F0BE3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074527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CD635B2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C9AA3AA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7E2C8226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2.重复申请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85082E2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8E67BCB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AB94AA3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479A6E0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DF78EDF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DF6D98F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659E03A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68FDA8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21F8333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4EA796F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5EF837C1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3.要求提供公开出版物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C68B53B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6FF90EF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1CB12E0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4758984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6DA1089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53EC0F2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3101C6B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03BCC5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B885A6E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AA789C2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11D1A65F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4.无正当理由大量反复申请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51A32CA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5CD0E5D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B479E59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4F4179A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0A406A3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0BC29E1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B7C4F18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4E60B9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99E736B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6024D77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9E5CFE7">
            <w:pPr>
              <w:widowControl/>
              <w:spacing w:line="30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5.要求行政机关确认或重新出具已获取信息</w:t>
            </w:r>
          </w:p>
        </w:tc>
        <w:tc>
          <w:tcPr>
            <w:tcW w:w="81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48E919D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03B63B5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79C3026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46CF77E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9D493E0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089761A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3EF01E7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60E55D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4C084D1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A7C52CC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（六）其他处理</w:t>
            </w:r>
          </w:p>
        </w:tc>
        <w:tc>
          <w:tcPr>
            <w:tcW w:w="32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BE411CE">
            <w:pPr>
              <w:widowControl/>
              <w:spacing w:line="30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1.申请人无正当理由逾期不补正、行政机关不再处理其政府信息公开申请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1D43B2F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A40C6A0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88D2F29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C03637D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7732DE5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68361A6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DAA7700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5511E7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F45C6D6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785FD12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FEF344D">
            <w:pPr>
              <w:widowControl/>
              <w:spacing w:line="30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83B3AEC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FFCF770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3FAE027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352068C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902934C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91156BF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2474883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7B94DC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5DFA9D7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6FA0FEF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1D8210B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3.其他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FBFF251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419429B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D245335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AADB1FA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F019BE0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B9FEDDB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2D95FA7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2B7E28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0796DCC">
            <w:pPr>
              <w:widowControl/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02D4C12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（七）总计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8F2C4F1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B3D1F2E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lang w:val="en-US" w:eastAsia="zh-CN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50293F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lang w:val="en-US" w:eastAsia="zh-CN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8AB9935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lang w:val="en-US" w:eastAsia="zh-CN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4D79145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lang w:val="en-US" w:eastAsia="zh-CN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1B3FA7D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lang w:val="en-US" w:eastAsia="zh-CN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78EE9B0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/>
              </w:rPr>
              <w:t>1</w:t>
            </w:r>
          </w:p>
        </w:tc>
      </w:tr>
      <w:tr w14:paraId="4F29B0B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491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C72B60A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四、结转下年度继续办理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0854224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D2D3490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6F7933A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16C3C9D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5E74D6A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E2F50BE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EB1E7F3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38D0F22A">
      <w:pPr>
        <w:widowControl/>
        <w:shd w:val="clear" w:color="auto" w:fill="FFFFFF"/>
        <w:spacing w:line="580" w:lineRule="exact"/>
        <w:ind w:firstLine="632" w:firstLineChars="200"/>
        <w:rPr>
          <w:rFonts w:hint="default" w:ascii="Times New Roman" w:hAnsi="Times New Roman" w:eastAsia="黑体" w:cs="Times New Roman"/>
          <w:color w:val="000000"/>
        </w:rPr>
      </w:pPr>
      <w:r>
        <w:rPr>
          <w:rFonts w:hint="default" w:ascii="Times New Roman" w:hAnsi="Times New Roman" w:eastAsia="黑体" w:cs="Times New Roman"/>
          <w:color w:val="000000"/>
        </w:rPr>
        <w:t>四、政府信息公开行政复议、行政诉讼情况</w:t>
      </w:r>
    </w:p>
    <w:tbl>
      <w:tblPr>
        <w:tblStyle w:val="5"/>
        <w:tblW w:w="907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 w14:paraId="6485AD5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4" w:type="dxa"/>
            <w:gridSpan w:val="5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A7AB9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行政复议</w:t>
            </w:r>
          </w:p>
        </w:tc>
        <w:tc>
          <w:tcPr>
            <w:tcW w:w="5997" w:type="dxa"/>
            <w:gridSpan w:val="10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4DB0F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行政诉讼</w:t>
            </w:r>
          </w:p>
        </w:tc>
      </w:tr>
      <w:tr w14:paraId="60818E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restart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5422E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结果维持</w:t>
            </w:r>
          </w:p>
        </w:tc>
        <w:tc>
          <w:tcPr>
            <w:tcW w:w="604" w:type="dxa"/>
            <w:vMerge w:val="restart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92614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结果纠正</w:t>
            </w:r>
          </w:p>
        </w:tc>
        <w:tc>
          <w:tcPr>
            <w:tcW w:w="604" w:type="dxa"/>
            <w:vMerge w:val="restart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7BDA0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其他结果</w:t>
            </w:r>
          </w:p>
        </w:tc>
        <w:tc>
          <w:tcPr>
            <w:tcW w:w="604" w:type="dxa"/>
            <w:vMerge w:val="restart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7EC83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尚未审结</w:t>
            </w:r>
          </w:p>
        </w:tc>
        <w:tc>
          <w:tcPr>
            <w:tcW w:w="658" w:type="dxa"/>
            <w:vMerge w:val="restart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6330B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总计</w:t>
            </w:r>
          </w:p>
        </w:tc>
        <w:tc>
          <w:tcPr>
            <w:tcW w:w="2970" w:type="dxa"/>
            <w:gridSpan w:val="5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2F8D2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2D14A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复议后起诉</w:t>
            </w:r>
          </w:p>
        </w:tc>
      </w:tr>
      <w:tr w14:paraId="7D781E4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3" w:hRule="atLeast"/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vAlign w:val="center"/>
          </w:tcPr>
          <w:p w14:paraId="5D70A815">
            <w:pPr>
              <w:widowControl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04" w:type="dxa"/>
            <w:vMerge w:val="continue"/>
            <w:tcBorders>
              <w:tl2br w:val="nil"/>
              <w:tr2bl w:val="nil"/>
            </w:tcBorders>
            <w:vAlign w:val="center"/>
          </w:tcPr>
          <w:p w14:paraId="4848D600">
            <w:pPr>
              <w:widowControl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04" w:type="dxa"/>
            <w:vMerge w:val="continue"/>
            <w:tcBorders>
              <w:tl2br w:val="nil"/>
              <w:tr2bl w:val="nil"/>
            </w:tcBorders>
            <w:vAlign w:val="center"/>
          </w:tcPr>
          <w:p w14:paraId="179896B2">
            <w:pPr>
              <w:widowControl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04" w:type="dxa"/>
            <w:vMerge w:val="continue"/>
            <w:tcBorders>
              <w:tl2br w:val="nil"/>
              <w:tr2bl w:val="nil"/>
            </w:tcBorders>
            <w:vAlign w:val="center"/>
          </w:tcPr>
          <w:p w14:paraId="6CA0B2F4">
            <w:pPr>
              <w:widowControl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vAlign w:val="center"/>
          </w:tcPr>
          <w:p w14:paraId="2A2826C0">
            <w:pPr>
              <w:widowControl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5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B7442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37DB6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0C59D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其他结果</w:t>
            </w:r>
          </w:p>
        </w:tc>
        <w:tc>
          <w:tcPr>
            <w:tcW w:w="60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16C60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尚未审结</w:t>
            </w:r>
          </w:p>
        </w:tc>
        <w:tc>
          <w:tcPr>
            <w:tcW w:w="60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4346F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总计</w:t>
            </w:r>
          </w:p>
        </w:tc>
        <w:tc>
          <w:tcPr>
            <w:tcW w:w="60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69A48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A7D56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47782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其他结果</w:t>
            </w:r>
          </w:p>
        </w:tc>
        <w:tc>
          <w:tcPr>
            <w:tcW w:w="606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3D7C9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尚未审结</w:t>
            </w:r>
          </w:p>
        </w:tc>
        <w:tc>
          <w:tcPr>
            <w:tcW w:w="606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41FB4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总计</w:t>
            </w:r>
          </w:p>
        </w:tc>
      </w:tr>
      <w:tr w14:paraId="37D231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  <w:jc w:val="center"/>
        </w:trPr>
        <w:tc>
          <w:tcPr>
            <w:tcW w:w="604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21F54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CD5B0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1EE90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0907A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58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F090A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5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0EA5A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9810D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38E80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0BD9A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DFE82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D7DF8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15B41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4A20E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6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7A2E1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6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F8482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4797BC9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黑体" w:cs="Times New Roman"/>
          <w:color w:val="000000"/>
        </w:rPr>
      </w:pPr>
      <w:r>
        <w:rPr>
          <w:rFonts w:hint="default" w:ascii="Times New Roman" w:hAnsi="Times New Roman" w:eastAsia="黑体" w:cs="Times New Roman"/>
          <w:color w:val="000000"/>
        </w:rPr>
        <w:t>存在的主要问题及改进情况</w:t>
      </w:r>
    </w:p>
    <w:p w14:paraId="00F5D8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存在主要问题：</w:t>
      </w:r>
      <w:r>
        <w:rPr>
          <w:rFonts w:hint="eastAsia" w:ascii="Times New Roman" w:cs="Times New Roman"/>
          <w:b/>
          <w:bCs/>
          <w:sz w:val="32"/>
          <w:szCs w:val="32"/>
          <w:lang w:val="en-US" w:eastAsia="zh-CN"/>
        </w:rPr>
        <w:t>一是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en-US" w:eastAsia="zh-CN"/>
        </w:rPr>
        <w:t>信息公开连续性有待强化</w:t>
      </w:r>
      <w:r>
        <w:rPr>
          <w:rFonts w:hint="eastAsia" w:ascii="Times New Roman" w:cs="Times New Roman"/>
          <w:b w:val="0"/>
          <w:bCs w:val="0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en-US" w:eastAsia="zh-CN"/>
        </w:rPr>
        <w:t>部分领域信息公开存在内容缺失、发布滞后问题，时效性与系统性未达预期，无法形成连贯的信息发布链路。</w:t>
      </w:r>
      <w:r>
        <w:rPr>
          <w:rFonts w:hint="eastAsia" w:ascii="Times New Roman" w:cs="Times New Roman"/>
          <w:b/>
          <w:bCs/>
          <w:sz w:val="32"/>
          <w:szCs w:val="32"/>
          <w:lang w:val="en-US" w:eastAsia="zh-CN"/>
        </w:rPr>
        <w:t>二是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en-US" w:eastAsia="zh-CN"/>
        </w:rPr>
        <w:t>主动公开精准性亟需提升</w:t>
      </w:r>
      <w:r>
        <w:rPr>
          <w:rFonts w:hint="eastAsia" w:ascii="Times New Roman" w:cs="Times New Roman"/>
          <w:b w:val="0"/>
          <w:bCs w:val="0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en-US" w:eastAsia="zh-CN"/>
        </w:rPr>
        <w:t>政务信息主动公开在覆盖范围、信息深度、发布数量等维度，与上级既定标准尚存差距，未能全面匹配政务公开的精准化要求</w:t>
      </w:r>
      <w:r>
        <w:rPr>
          <w:rFonts w:hint="eastAsia" w:ascii="Times New Roman" w:cs="Times New Roman"/>
          <w:b w:val="0"/>
          <w:bCs w:val="0"/>
          <w:sz w:val="32"/>
          <w:szCs w:val="32"/>
          <w:lang w:val="en-US" w:eastAsia="zh-CN"/>
        </w:rPr>
        <w:t>。</w:t>
      </w:r>
      <w:r>
        <w:rPr>
          <w:rFonts w:hint="eastAsia" w:ascii="Times New Roman" w:cs="Times New Roman"/>
          <w:b/>
          <w:bCs/>
          <w:sz w:val="32"/>
          <w:szCs w:val="32"/>
          <w:lang w:val="en-US" w:eastAsia="zh-CN"/>
        </w:rPr>
        <w:t>三是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en-US" w:eastAsia="zh-CN"/>
        </w:rPr>
        <w:t>公开形式与回应机制创新性不足</w:t>
      </w:r>
      <w:r>
        <w:rPr>
          <w:rFonts w:hint="eastAsia" w:ascii="Times New Roman" w:cs="Times New Roman"/>
          <w:b w:val="0"/>
          <w:bCs w:val="0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en-US" w:eastAsia="zh-CN"/>
        </w:rPr>
        <w:t>信息公开载体形式较为传统单一，对社会公众关切的回应手段缺乏多样性，难以适配多元的信息获取需求。</w:t>
      </w:r>
    </w:p>
    <w:p w14:paraId="12F69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下一步整改措施：</w:t>
      </w:r>
      <w:r>
        <w:rPr>
          <w:rFonts w:hint="eastAsia" w:ascii="Times New Roman" w:cs="Times New Roman"/>
          <w:b/>
          <w:bCs/>
          <w:sz w:val="32"/>
          <w:szCs w:val="32"/>
          <w:lang w:val="en-US" w:eastAsia="zh-CN"/>
        </w:rPr>
        <w:t>一是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en-US" w:eastAsia="zh-CN"/>
        </w:rPr>
        <w:t>深化政务公开内容全维度覆盖</w:t>
      </w:r>
      <w:r>
        <w:rPr>
          <w:rFonts w:hint="eastAsia" w:ascii="Times New Roman" w:cs="Times New Roman"/>
          <w:b w:val="0"/>
          <w:bCs w:val="0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en-US" w:eastAsia="zh-CN"/>
        </w:rPr>
        <w:t>将政府决策、规划、政策及经济、社会、文化等各领域政务信息纳入公开范畴，严格落实“全面、准确、及时”的公开要求，保障公众的知情权与参与权。</w:t>
      </w:r>
      <w:r>
        <w:rPr>
          <w:rFonts w:hint="eastAsia" w:ascii="Times New Roman" w:cs="Times New Roman"/>
          <w:b/>
          <w:bCs/>
          <w:sz w:val="32"/>
          <w:szCs w:val="32"/>
          <w:lang w:val="en-US" w:eastAsia="zh-CN"/>
        </w:rPr>
        <w:t>二是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en-US" w:eastAsia="zh-CN"/>
        </w:rPr>
        <w:t>提升政务公开队伍专业素养</w:t>
      </w:r>
      <w:r>
        <w:rPr>
          <w:rFonts w:hint="eastAsia" w:ascii="Times New Roman" w:cs="Times New Roman"/>
          <w:b w:val="0"/>
          <w:bCs w:val="0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en-US" w:eastAsia="zh-CN"/>
        </w:rPr>
        <w:t>常态化组织政务公开相关政策法规、业务技能培训，强化工作人员的政策把握精度与舆情回应引导能力，筑牢业务支撑根基。</w:t>
      </w:r>
      <w:r>
        <w:rPr>
          <w:rFonts w:hint="eastAsia" w:ascii="Times New Roman" w:cs="Times New Roman"/>
          <w:b/>
          <w:bCs/>
          <w:sz w:val="32"/>
          <w:szCs w:val="32"/>
          <w:lang w:val="en-US" w:eastAsia="zh-CN"/>
        </w:rPr>
        <w:t>三是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en-US" w:eastAsia="zh-CN"/>
        </w:rPr>
        <w:t>健全政务公开制度体系建设</w:t>
      </w:r>
      <w:r>
        <w:rPr>
          <w:rFonts w:hint="eastAsia" w:ascii="Times New Roman" w:cs="Times New Roman"/>
          <w:b w:val="0"/>
          <w:bCs w:val="0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en-US" w:eastAsia="zh-CN"/>
        </w:rPr>
        <w:t>持续优化工作流程，创新公开方式方法，推动政务公开工作向制度化、标准化、规范化转型，构建长效运行机制。</w:t>
      </w:r>
    </w:p>
    <w:p w14:paraId="1FFC5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黑体" w:cs="Times New Roman"/>
          <w:color w:val="000000"/>
        </w:rPr>
      </w:pPr>
      <w:r>
        <w:rPr>
          <w:rFonts w:hint="default" w:ascii="Times New Roman" w:hAnsi="Times New Roman" w:eastAsia="黑体" w:cs="Times New Roman"/>
          <w:color w:val="000000"/>
        </w:rPr>
        <w:t>六、其他需求报告的事项</w:t>
      </w:r>
    </w:p>
    <w:p w14:paraId="2DCB4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本机关在办理202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年度政府信息公开申请中未收取信息处理费。</w:t>
      </w:r>
    </w:p>
    <w:sectPr>
      <w:footerReference r:id="rId5" w:type="first"/>
      <w:footerReference r:id="rId3" w:type="default"/>
      <w:footerReference r:id="rId4" w:type="even"/>
      <w:pgSz w:w="11906" w:h="16838"/>
      <w:pgMar w:top="1587" w:right="1587" w:bottom="1587" w:left="1587" w:header="851" w:footer="1520" w:gutter="0"/>
      <w:pgNumType w:start="1" w:chapStyle="1"/>
      <w:cols w:space="720" w:num="1"/>
      <w:docGrid w:type="linesAndChars" w:linePitch="582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14411">
    <w:pPr>
      <w:pStyle w:val="2"/>
      <w:framePr w:wrap="around" w:vAnchor="text" w:hAnchor="page" w:x="4995" w:y="534"/>
      <w:ind w:left="320" w:leftChars="100" w:right="320" w:rightChars="100"/>
      <w:jc w:val="right"/>
      <w:rPr>
        <w:rStyle w:val="8"/>
        <w:sz w:val="28"/>
        <w:szCs w:val="28"/>
      </w:rPr>
    </w:pPr>
    <w:r>
      <w:rPr>
        <w:rStyle w:val="8"/>
        <w:rFonts w:hint="eastAsia" w:eastAsia="宋体"/>
        <w:sz w:val="28"/>
        <w:szCs w:val="28"/>
      </w:rPr>
      <w:t>—</w:t>
    </w:r>
    <w:r>
      <w:rPr>
        <w:rStyle w:val="8"/>
        <w:rFonts w:ascii="Times New Roman"/>
        <w:sz w:val="28"/>
        <w:szCs w:val="28"/>
      </w:rPr>
      <w:t xml:space="preserve"> </w:t>
    </w:r>
    <w:r>
      <w:rPr>
        <w:rFonts w:ascii="宋体" w:hAnsi="宋体" w:eastAsia="宋体"/>
        <w:sz w:val="28"/>
        <w:szCs w:val="28"/>
      </w:rPr>
      <w:fldChar w:fldCharType="begin"/>
    </w:r>
    <w:r>
      <w:rPr>
        <w:rStyle w:val="8"/>
        <w:rFonts w:ascii="宋体" w:hAnsi="宋体" w:eastAsia="宋体"/>
        <w:sz w:val="28"/>
        <w:szCs w:val="28"/>
      </w:rPr>
      <w:instrText xml:space="preserve">PAGE 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8"/>
        <w:rFonts w:ascii="宋体" w:hAnsi="宋体" w:eastAsia="宋体"/>
        <w:sz w:val="28"/>
        <w:szCs w:val="28"/>
      </w:rPr>
      <w:t>2</w:t>
    </w:r>
    <w:r>
      <w:rPr>
        <w:rFonts w:ascii="宋体" w:hAnsi="宋体" w:eastAsia="宋体"/>
        <w:sz w:val="28"/>
        <w:szCs w:val="28"/>
      </w:rPr>
      <w:fldChar w:fldCharType="end"/>
    </w:r>
    <w:r>
      <w:rPr>
        <w:rStyle w:val="8"/>
        <w:rFonts w:ascii="Times New Roman"/>
        <w:sz w:val="28"/>
        <w:szCs w:val="28"/>
      </w:rPr>
      <w:t xml:space="preserve"> </w:t>
    </w:r>
    <w:r>
      <w:rPr>
        <w:rStyle w:val="8"/>
        <w:rFonts w:hint="eastAsia" w:eastAsia="宋体"/>
        <w:sz w:val="28"/>
        <w:szCs w:val="28"/>
      </w:rPr>
      <w:t>—</w:t>
    </w:r>
  </w:p>
  <w:p w14:paraId="7A3342B2">
    <w:pPr>
      <w:pStyle w:val="2"/>
      <w:ind w:right="320" w:rightChars="10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379374">
    <w:pPr>
      <w:pStyle w:val="2"/>
      <w:framePr w:wrap="around" w:vAnchor="text" w:hAnchor="margin" w:xAlign="outside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 w14:paraId="4B29F7FF">
    <w:pPr>
      <w:pStyle w:val="2"/>
      <w:ind w:left="320" w:leftChars="100" w:right="320" w:rightChars="100" w:firstLine="360"/>
    </w:pPr>
    <w:r>
      <w:rPr>
        <w:rStyle w:val="8"/>
        <w:rFonts w:hint="eastAsia" w:eastAsia="宋体"/>
        <w:sz w:val="28"/>
        <w:szCs w:val="28"/>
      </w:rPr>
      <w:t>—</w:t>
    </w:r>
    <w:r>
      <w:rPr>
        <w:rStyle w:val="8"/>
        <w:rFonts w:hint="eastAsia"/>
        <w:sz w:val="28"/>
        <w:szCs w:val="28"/>
      </w:rPr>
      <w:t xml:space="preserve">  </w:t>
    </w:r>
    <w:r>
      <w:rPr>
        <w:rStyle w:val="8"/>
        <w:rFonts w:hint="eastAsia" w:eastAsia="宋体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757D4C">
    <w:pPr>
      <w:pStyle w:val="2"/>
      <w:jc w:val="center"/>
      <w:rPr>
        <w:sz w:val="32"/>
      </w:rPr>
    </w:pPr>
    <w:r>
      <w:rPr>
        <w:rStyle w:val="8"/>
        <w:rFonts w:hint="eastAsia"/>
        <w:sz w:val="32"/>
      </w:rPr>
      <w:t xml:space="preserve">— </w:t>
    </w:r>
    <w:r>
      <w:rPr>
        <w:rFonts w:hint="eastAsia"/>
        <w:sz w:val="30"/>
      </w:rPr>
      <w:fldChar w:fldCharType="begin"/>
    </w:r>
    <w:r>
      <w:rPr>
        <w:rStyle w:val="8"/>
        <w:rFonts w:hint="eastAsia"/>
        <w:sz w:val="30"/>
      </w:rPr>
      <w:instrText xml:space="preserve"> PAGE </w:instrText>
    </w:r>
    <w:r>
      <w:rPr>
        <w:rFonts w:hint="eastAsia"/>
        <w:sz w:val="30"/>
      </w:rPr>
      <w:fldChar w:fldCharType="separate"/>
    </w:r>
    <w:r>
      <w:rPr>
        <w:rStyle w:val="8"/>
        <w:sz w:val="30"/>
      </w:rPr>
      <w:t>1</w:t>
    </w:r>
    <w:r>
      <w:rPr>
        <w:rFonts w:hint="eastAsia"/>
        <w:sz w:val="30"/>
      </w:rPr>
      <w:fldChar w:fldCharType="end"/>
    </w:r>
    <w:r>
      <w:rPr>
        <w:rStyle w:val="8"/>
        <w:rFonts w:hint="eastAsia"/>
        <w:sz w:val="32"/>
      </w:rPr>
      <w:t xml:space="preserve"> —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140BDA"/>
    <w:multiLevelType w:val="singleLevel"/>
    <w:tmpl w:val="39140BDA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hNzE0ZGQ1OTJkM2JkOWQ2Yjg2MDljOGE4ZDAxYTkifQ=="/>
  </w:docVars>
  <w:rsids>
    <w:rsidRoot w:val="00531C74"/>
    <w:rsid w:val="00022D07"/>
    <w:rsid w:val="00107E64"/>
    <w:rsid w:val="001D6C24"/>
    <w:rsid w:val="001F784C"/>
    <w:rsid w:val="002444F1"/>
    <w:rsid w:val="002555CB"/>
    <w:rsid w:val="00276B7A"/>
    <w:rsid w:val="002A0F93"/>
    <w:rsid w:val="002C4FA4"/>
    <w:rsid w:val="0030055A"/>
    <w:rsid w:val="003829A8"/>
    <w:rsid w:val="003A051B"/>
    <w:rsid w:val="003A2BA0"/>
    <w:rsid w:val="0040639E"/>
    <w:rsid w:val="0044265F"/>
    <w:rsid w:val="004A4C90"/>
    <w:rsid w:val="004B15E5"/>
    <w:rsid w:val="004B1629"/>
    <w:rsid w:val="00531C74"/>
    <w:rsid w:val="00531EF3"/>
    <w:rsid w:val="0055080F"/>
    <w:rsid w:val="00567348"/>
    <w:rsid w:val="005F7264"/>
    <w:rsid w:val="00603235"/>
    <w:rsid w:val="00637172"/>
    <w:rsid w:val="006A56EF"/>
    <w:rsid w:val="006C308C"/>
    <w:rsid w:val="006F0724"/>
    <w:rsid w:val="006F537F"/>
    <w:rsid w:val="007138C4"/>
    <w:rsid w:val="007432CA"/>
    <w:rsid w:val="007651F6"/>
    <w:rsid w:val="007B1890"/>
    <w:rsid w:val="007B393F"/>
    <w:rsid w:val="007C06F1"/>
    <w:rsid w:val="007E3E72"/>
    <w:rsid w:val="0084158A"/>
    <w:rsid w:val="008465B4"/>
    <w:rsid w:val="008A0FEF"/>
    <w:rsid w:val="009200CC"/>
    <w:rsid w:val="009A1E58"/>
    <w:rsid w:val="009A559B"/>
    <w:rsid w:val="009B3764"/>
    <w:rsid w:val="009C12AD"/>
    <w:rsid w:val="00A57001"/>
    <w:rsid w:val="00B54433"/>
    <w:rsid w:val="00B66B78"/>
    <w:rsid w:val="00B754EE"/>
    <w:rsid w:val="00B964E2"/>
    <w:rsid w:val="00BB3302"/>
    <w:rsid w:val="00BC6982"/>
    <w:rsid w:val="00BD6CD6"/>
    <w:rsid w:val="00BD75BA"/>
    <w:rsid w:val="00C60937"/>
    <w:rsid w:val="00CA2E15"/>
    <w:rsid w:val="00CA341A"/>
    <w:rsid w:val="00CF7CC1"/>
    <w:rsid w:val="00D06D39"/>
    <w:rsid w:val="00D1052F"/>
    <w:rsid w:val="00D230CF"/>
    <w:rsid w:val="00D462F7"/>
    <w:rsid w:val="00D75673"/>
    <w:rsid w:val="00E42230"/>
    <w:rsid w:val="00E6452E"/>
    <w:rsid w:val="00E80E50"/>
    <w:rsid w:val="00EA30A7"/>
    <w:rsid w:val="00EF56EC"/>
    <w:rsid w:val="00F06020"/>
    <w:rsid w:val="00F37914"/>
    <w:rsid w:val="00F810C4"/>
    <w:rsid w:val="00FC3A49"/>
    <w:rsid w:val="014214D2"/>
    <w:rsid w:val="0302105D"/>
    <w:rsid w:val="05233F4D"/>
    <w:rsid w:val="09BC32F9"/>
    <w:rsid w:val="0A8D0BE0"/>
    <w:rsid w:val="0B6D75AE"/>
    <w:rsid w:val="0FB84FED"/>
    <w:rsid w:val="0FC52917"/>
    <w:rsid w:val="11FD548F"/>
    <w:rsid w:val="12811306"/>
    <w:rsid w:val="13146380"/>
    <w:rsid w:val="13816095"/>
    <w:rsid w:val="13A84578"/>
    <w:rsid w:val="14735F4F"/>
    <w:rsid w:val="14D876E2"/>
    <w:rsid w:val="14EF3F6B"/>
    <w:rsid w:val="14F971E4"/>
    <w:rsid w:val="19490E5F"/>
    <w:rsid w:val="1A204BC7"/>
    <w:rsid w:val="1A6C4C93"/>
    <w:rsid w:val="1CFB754C"/>
    <w:rsid w:val="1DD40D21"/>
    <w:rsid w:val="210E5779"/>
    <w:rsid w:val="21677B0B"/>
    <w:rsid w:val="22CB1215"/>
    <w:rsid w:val="24ED73ED"/>
    <w:rsid w:val="25821B98"/>
    <w:rsid w:val="25923BC9"/>
    <w:rsid w:val="299167ED"/>
    <w:rsid w:val="2A356566"/>
    <w:rsid w:val="2B84765F"/>
    <w:rsid w:val="2CDE090F"/>
    <w:rsid w:val="2E424CB4"/>
    <w:rsid w:val="30664601"/>
    <w:rsid w:val="31D65E3F"/>
    <w:rsid w:val="32262D20"/>
    <w:rsid w:val="32A7380E"/>
    <w:rsid w:val="34A052B9"/>
    <w:rsid w:val="35FC62C6"/>
    <w:rsid w:val="36FB6EF0"/>
    <w:rsid w:val="38F8721D"/>
    <w:rsid w:val="3A82293D"/>
    <w:rsid w:val="3C381BFD"/>
    <w:rsid w:val="40BB7D84"/>
    <w:rsid w:val="41683AC0"/>
    <w:rsid w:val="42637424"/>
    <w:rsid w:val="44D53D34"/>
    <w:rsid w:val="458A318E"/>
    <w:rsid w:val="47324469"/>
    <w:rsid w:val="48A64365"/>
    <w:rsid w:val="496B4DEC"/>
    <w:rsid w:val="4B2D3866"/>
    <w:rsid w:val="4D6D61BC"/>
    <w:rsid w:val="4DB14010"/>
    <w:rsid w:val="4E4D0205"/>
    <w:rsid w:val="5076449D"/>
    <w:rsid w:val="52BC4786"/>
    <w:rsid w:val="530B5848"/>
    <w:rsid w:val="56A30136"/>
    <w:rsid w:val="591B3575"/>
    <w:rsid w:val="5A34569A"/>
    <w:rsid w:val="617F4DB2"/>
    <w:rsid w:val="620F49AB"/>
    <w:rsid w:val="63273E9D"/>
    <w:rsid w:val="633760E2"/>
    <w:rsid w:val="648C7017"/>
    <w:rsid w:val="64B452BD"/>
    <w:rsid w:val="6813585A"/>
    <w:rsid w:val="68CD17D3"/>
    <w:rsid w:val="69AC6284"/>
    <w:rsid w:val="6ACD1311"/>
    <w:rsid w:val="6B522E51"/>
    <w:rsid w:val="6BEB46F7"/>
    <w:rsid w:val="6E773526"/>
    <w:rsid w:val="6EB50670"/>
    <w:rsid w:val="6F0B4673"/>
    <w:rsid w:val="6F6754D8"/>
    <w:rsid w:val="71335005"/>
    <w:rsid w:val="799A0F9A"/>
    <w:rsid w:val="7A434CC1"/>
    <w:rsid w:val="7BB5399C"/>
    <w:rsid w:val="7C161DFC"/>
    <w:rsid w:val="7DC0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仿宋_GB2312" w:hAnsi="Times New Roman" w:eastAsia="仿宋_GB2312" w:cs="Times New Roman"/>
      <w:sz w:val="32"/>
      <w:szCs w:val="3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="100" w:beforeAutospacing="1" w:after="100" w:afterAutospacing="1"/>
      <w:jc w:val="left"/>
    </w:pPr>
    <w:rPr>
      <w:sz w:val="24"/>
    </w:rPr>
  </w:style>
  <w:style w:type="character" w:styleId="7">
    <w:name w:val="Strong"/>
    <w:basedOn w:val="6"/>
    <w:autoRedefine/>
    <w:qFormat/>
    <w:uiPriority w:val="22"/>
    <w:rPr>
      <w:b/>
      <w:bCs/>
    </w:rPr>
  </w:style>
  <w:style w:type="character" w:styleId="8">
    <w:name w:val="page number"/>
    <w:basedOn w:val="6"/>
    <w:autoRedefine/>
    <w:qFormat/>
    <w:uiPriority w:val="0"/>
  </w:style>
  <w:style w:type="paragraph" w:customStyle="1" w:styleId="9">
    <w:name w:val="Revision"/>
    <w:autoRedefine/>
    <w:hidden/>
    <w:semiHidden/>
    <w:qFormat/>
    <w:uiPriority w:val="99"/>
    <w:rPr>
      <w:rFonts w:ascii="仿宋_GB2312" w:hAnsi="Times New Roman" w:eastAsia="仿宋_GB2312" w:cs="Times New Roman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www.ftpdown.com</Company>
  <Pages>4</Pages>
  <Words>423</Words>
  <Characters>438</Characters>
  <Lines>11</Lines>
  <Paragraphs>3</Paragraphs>
  <TotalTime>234</TotalTime>
  <ScaleCrop>false</ScaleCrop>
  <LinksUpToDate>false</LinksUpToDate>
  <CharactersWithSpaces>441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2022-01-20T06:17:00Z</dcterms:created>
  <dc:creator>lenovo</dc:creator>
  <cp:lastModifiedBy>Lenovo</cp:lastModifiedBy>
  <cp:lastPrinted>2026-01-15T03:50:22Z</cp:lastPrinted>
  <dcterms:modified xsi:type="dcterms:W3CDTF">2026-01-15T04:59:19Z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SaveFontToCloudKey">
    <vt:lpwstr>11361048_cloud</vt:lpwstr>
  </property>
  <property fmtid="{D5CDD505-2E9C-101B-9397-08002B2CF9AE}" pid="4" name="ICV">
    <vt:lpwstr>F35FC7DEB296474492A14427F013CB78</vt:lpwstr>
  </property>
  <property fmtid="{D5CDD505-2E9C-101B-9397-08002B2CF9AE}" pid="5" name="KSOTemplateDocerSaveRecord">
    <vt:lpwstr>eyJoZGlkIjoiZGRjZTRhOTdmNWJhMGZlNTFlZTNjYTk1YjU0ZWZmNTMiLCJ1c2VySWQiOiI0NjAzNTcyNjQifQ==</vt:lpwstr>
  </property>
</Properties>
</file>