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589FEE">
      <w:pPr>
        <w:spacing w:line="560" w:lineRule="exact"/>
        <w:jc w:val="center"/>
        <w:rPr>
          <w:rFonts w:hint="eastAsia" w:ascii="方正小标宋简体" w:hAnsi="黑体" w:eastAsia="方正小标宋简体" w:cs="仿宋_GB2312"/>
          <w:sz w:val="44"/>
          <w:szCs w:val="44"/>
        </w:rPr>
      </w:pPr>
      <w:r>
        <w:rPr>
          <w:rFonts w:ascii="方正小标宋简体" w:eastAsia="方正小标宋简体"/>
          <w:sz w:val="44"/>
          <w:szCs w:val="4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-40005</wp:posOffset>
            </wp:positionH>
            <wp:positionV relativeFrom="paragraph">
              <wp:posOffset>234315</wp:posOffset>
            </wp:positionV>
            <wp:extent cx="5767070" cy="2542540"/>
            <wp:effectExtent l="0" t="0" r="5080" b="1016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7070" cy="254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C033B76">
      <w:pPr>
        <w:spacing w:line="560" w:lineRule="exact"/>
        <w:jc w:val="center"/>
        <w:rPr>
          <w:rFonts w:hint="eastAsia" w:ascii="方正小标宋简体" w:hAnsi="黑体" w:eastAsia="方正小标宋简体" w:cs="仿宋_GB2312"/>
          <w:sz w:val="44"/>
          <w:szCs w:val="44"/>
        </w:rPr>
      </w:pPr>
    </w:p>
    <w:p w14:paraId="3F07A535">
      <w:pPr>
        <w:spacing w:line="560" w:lineRule="exact"/>
        <w:jc w:val="center"/>
        <w:rPr>
          <w:rFonts w:hint="eastAsia" w:ascii="方正小标宋简体" w:hAnsi="黑体" w:eastAsia="方正小标宋简体" w:cs="仿宋_GB2312"/>
          <w:sz w:val="44"/>
          <w:szCs w:val="44"/>
        </w:rPr>
      </w:pPr>
    </w:p>
    <w:p w14:paraId="1EF88E6F">
      <w:pPr>
        <w:spacing w:line="560" w:lineRule="exact"/>
        <w:jc w:val="center"/>
        <w:rPr>
          <w:rFonts w:hint="eastAsia" w:ascii="方正小标宋简体" w:hAnsi="黑体" w:eastAsia="方正小标宋简体" w:cs="仿宋_GB2312"/>
          <w:sz w:val="44"/>
          <w:szCs w:val="44"/>
        </w:rPr>
      </w:pPr>
    </w:p>
    <w:p w14:paraId="5EE4F0FB">
      <w:pPr>
        <w:spacing w:line="560" w:lineRule="exact"/>
        <w:jc w:val="center"/>
        <w:rPr>
          <w:rFonts w:hint="eastAsia" w:ascii="方正小标宋简体" w:hAnsi="黑体" w:eastAsia="方正小标宋简体" w:cs="仿宋_GB2312"/>
          <w:sz w:val="44"/>
          <w:szCs w:val="44"/>
        </w:rPr>
      </w:pPr>
    </w:p>
    <w:p w14:paraId="1E2BAAF9">
      <w:pPr>
        <w:spacing w:line="560" w:lineRule="exact"/>
        <w:jc w:val="center"/>
        <w:rPr>
          <w:rFonts w:hint="eastAsia" w:ascii="方正小标宋简体" w:hAnsi="黑体" w:eastAsia="方正小标宋简体" w:cs="仿宋_GB2312"/>
          <w:sz w:val="44"/>
          <w:szCs w:val="44"/>
        </w:rPr>
      </w:pPr>
    </w:p>
    <w:p w14:paraId="1442C909">
      <w:pPr>
        <w:spacing w:line="560" w:lineRule="exact"/>
        <w:jc w:val="center"/>
        <w:rPr>
          <w:rFonts w:hint="eastAsia" w:ascii="方正小标宋简体" w:hAnsi="黑体" w:eastAsia="方正小标宋简体" w:cs="仿宋_GB2312"/>
          <w:sz w:val="44"/>
          <w:szCs w:val="44"/>
        </w:rPr>
      </w:pPr>
    </w:p>
    <w:p w14:paraId="44DB3785">
      <w:pPr>
        <w:spacing w:line="560" w:lineRule="exact"/>
        <w:jc w:val="center"/>
        <w:rPr>
          <w:rFonts w:hint="eastAsia" w:ascii="方正小标宋简体" w:hAnsi="黑体" w:eastAsia="方正小标宋简体" w:cs="仿宋_GB2312"/>
          <w:sz w:val="44"/>
          <w:szCs w:val="44"/>
        </w:rPr>
      </w:pPr>
    </w:p>
    <w:p w14:paraId="64450F8A">
      <w:pPr>
        <w:spacing w:line="560" w:lineRule="exact"/>
        <w:jc w:val="center"/>
        <w:rPr>
          <w:rFonts w:ascii="方正小标宋简体" w:hAnsi="黑体" w:eastAsia="方正小标宋简体" w:cs="仿宋_GB2312"/>
          <w:sz w:val="44"/>
          <w:szCs w:val="44"/>
        </w:rPr>
      </w:pPr>
      <w:r>
        <w:rPr>
          <w:rFonts w:hint="eastAsia" w:ascii="方正小标宋简体" w:hAnsi="黑体" w:eastAsia="方正小标宋简体" w:cs="仿宋_GB2312"/>
          <w:sz w:val="44"/>
          <w:szCs w:val="44"/>
        </w:rPr>
        <w:t>苏州市</w:t>
      </w:r>
      <w:r>
        <w:rPr>
          <w:rFonts w:ascii="方正小标宋简体" w:hAnsi="黑体" w:eastAsia="方正小标宋简体" w:cs="仿宋_GB2312"/>
          <w:sz w:val="44"/>
          <w:szCs w:val="44"/>
        </w:rPr>
        <w:t>相城区应急管理局</w:t>
      </w:r>
    </w:p>
    <w:p w14:paraId="7407B0AD">
      <w:pPr>
        <w:spacing w:line="560" w:lineRule="exact"/>
        <w:jc w:val="center"/>
        <w:rPr>
          <w:rFonts w:hint="eastAsia" w:ascii="方正小标宋简体" w:hAnsi="黑体" w:eastAsia="方正小标宋简体" w:cs="仿宋_GB2312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202</w:t>
      </w:r>
      <w:r>
        <w:rPr>
          <w:rFonts w:hint="eastAsia" w:ascii="Times New Roman" w:hAnsi="Times New Roman" w:eastAsia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黑体" w:eastAsia="方正小标宋简体" w:cs="仿宋_GB2312"/>
          <w:sz w:val="44"/>
          <w:szCs w:val="44"/>
        </w:rPr>
        <w:t>年政府信息公开</w:t>
      </w:r>
      <w:r>
        <w:rPr>
          <w:rFonts w:hint="eastAsia" w:ascii="方正小标宋简体" w:hAnsi="黑体" w:eastAsia="方正小标宋简体" w:cs="仿宋_GB2312"/>
          <w:sz w:val="44"/>
          <w:szCs w:val="44"/>
          <w:lang w:val="en-US" w:eastAsia="zh-CN"/>
        </w:rPr>
        <w:t>工作</w:t>
      </w:r>
      <w:r>
        <w:rPr>
          <w:rFonts w:hint="eastAsia" w:ascii="方正小标宋简体" w:hAnsi="黑体" w:eastAsia="方正小标宋简体" w:cs="仿宋_GB2312"/>
          <w:sz w:val="44"/>
          <w:szCs w:val="44"/>
        </w:rPr>
        <w:t>年度报告</w:t>
      </w:r>
    </w:p>
    <w:p w14:paraId="12B9EA40">
      <w:pPr>
        <w:spacing w:line="560" w:lineRule="exact"/>
        <w:rPr>
          <w:rFonts w:hint="eastAsia" w:ascii="宋体" w:hAnsi="宋体" w:cs="宋体"/>
          <w:color w:val="333333"/>
          <w:sz w:val="24"/>
        </w:rPr>
      </w:pPr>
    </w:p>
    <w:p w14:paraId="7452A2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一、总体情况</w:t>
      </w:r>
    </w:p>
    <w:p w14:paraId="0CFCBF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ascii="仿宋_GB2312" w:hAnsi="黑体" w:eastAsia="仿宋_GB2312" w:cs="仿宋_GB2312"/>
          <w:sz w:val="32"/>
          <w:szCs w:val="32"/>
        </w:rPr>
      </w:pPr>
      <w:r>
        <w:rPr>
          <w:rFonts w:hint="eastAsia" w:ascii="仿宋_GB2312" w:hAnsi="黑体" w:eastAsia="仿宋_GB2312" w:cs="仿宋_GB2312"/>
          <w:sz w:val="32"/>
          <w:szCs w:val="32"/>
        </w:rPr>
        <w:t>202</w:t>
      </w:r>
      <w:r>
        <w:rPr>
          <w:rFonts w:hint="eastAsia" w:ascii="仿宋_GB2312" w:hAnsi="黑体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黑体" w:eastAsia="仿宋_GB2312" w:cs="仿宋_GB2312"/>
          <w:sz w:val="32"/>
          <w:szCs w:val="32"/>
        </w:rPr>
        <w:t>年</w:t>
      </w:r>
      <w:r>
        <w:rPr>
          <w:rFonts w:hint="eastAsia" w:ascii="仿宋_GB2312" w:hAnsi="黑体" w:eastAsia="仿宋_GB2312" w:cs="仿宋_GB2312"/>
          <w:sz w:val="32"/>
          <w:szCs w:val="32"/>
          <w:lang w:eastAsia="zh-CN"/>
        </w:rPr>
        <w:t>，</w:t>
      </w:r>
      <w:r>
        <w:rPr>
          <w:rFonts w:ascii="仿宋_GB2312" w:hAnsi="黑体" w:eastAsia="仿宋_GB2312" w:cs="仿宋_GB2312"/>
          <w:sz w:val="32"/>
          <w:szCs w:val="32"/>
        </w:rPr>
        <w:t>苏州市相城区应急管理局</w:t>
      </w:r>
      <w:r>
        <w:rPr>
          <w:rFonts w:hint="eastAsia" w:ascii="仿宋_GB2312" w:hAnsi="黑体" w:eastAsia="仿宋_GB2312" w:cs="仿宋_GB2312"/>
          <w:sz w:val="32"/>
          <w:szCs w:val="32"/>
          <w:lang w:val="en-US" w:eastAsia="zh-CN"/>
        </w:rPr>
        <w:t>在区委、区政府的领导下，</w:t>
      </w:r>
      <w:r>
        <w:rPr>
          <w:rFonts w:hint="eastAsia" w:ascii="仿宋_GB2312" w:hAnsi="黑体" w:eastAsia="仿宋_GB2312" w:cs="仿宋_GB2312"/>
          <w:sz w:val="32"/>
          <w:szCs w:val="32"/>
        </w:rPr>
        <w:t>根据《中华人民共和国政府信息公开条例》和《相城区人民政府政务公开信息发布管理暂行办法》有关规定，</w:t>
      </w:r>
      <w:r>
        <w:rPr>
          <w:rFonts w:hint="eastAsia" w:ascii="仿宋_GB2312" w:hAnsi="黑体" w:eastAsia="仿宋_GB2312" w:cs="仿宋_GB2312"/>
          <w:sz w:val="32"/>
          <w:szCs w:val="32"/>
          <w:lang w:val="en-US" w:eastAsia="zh-CN"/>
        </w:rPr>
        <w:t>结合工作实际，加强民主监督，自觉接受群众监督，不断推进应急管理依法行政、高效行政、廉洁行政，完成了2025年度政府信息公开工作，主要有以下几方面</w:t>
      </w:r>
      <w:r>
        <w:rPr>
          <w:rFonts w:hint="eastAsia" w:ascii="仿宋_GB2312" w:hAnsi="黑体" w:eastAsia="仿宋_GB2312" w:cs="仿宋_GB2312"/>
          <w:sz w:val="32"/>
          <w:szCs w:val="32"/>
        </w:rPr>
        <w:t>：</w:t>
      </w:r>
    </w:p>
    <w:p w14:paraId="480998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default" w:ascii="楷体" w:hAnsi="楷体" w:eastAsia="楷体" w:cs="楷体"/>
          <w:b w:val="0"/>
          <w:bCs w:val="0"/>
          <w:sz w:val="32"/>
          <w:szCs w:val="32"/>
          <w:lang w:val="en-US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一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及时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主动公开信息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发布工作动态</w:t>
      </w:r>
    </w:p>
    <w:p w14:paraId="246423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黑体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仿宋_GB2312"/>
          <w:sz w:val="32"/>
          <w:szCs w:val="32"/>
          <w:lang w:val="en-US" w:eastAsia="zh-CN"/>
        </w:rPr>
        <w:t>立足保障各类主体依法查阅政府信息的需求，切实维护人民群众对应急管理工作的各项法定权利，我局依托多元宣传载体，包括苏州日报、微信公众号等，常态化公开工作开展详情、执法监管成效、行政处罚结果等信息，广泛传递工作动态，助力公众及时知晓应急管理、安全生产和防灾减灾相关工作进展。2025年累计在各合作媒体刊发相关稿件66篇，其中中国应急管理报6篇、交汇点10篇、苏州日报（引力播）50篇，有力扩大了安全应急领域宣传覆盖面，显著提升了工作影响力。</w:t>
      </w:r>
    </w:p>
    <w:p w14:paraId="2ACADD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default" w:ascii="楷体" w:hAnsi="楷体" w:eastAsia="楷体" w:cs="楷体"/>
          <w:b w:val="0"/>
          <w:bCs w:val="0"/>
          <w:sz w:val="32"/>
          <w:szCs w:val="32"/>
          <w:highlight w:val="yellow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eastAsia="zh-CN"/>
        </w:rPr>
        <w:t>聚焦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val="en-US" w:eastAsia="zh-CN"/>
        </w:rPr>
        <w:t>社会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eastAsia="zh-CN"/>
        </w:rPr>
        <w:t>公众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val="en-US" w:eastAsia="zh-CN"/>
        </w:rPr>
        <w:t>关切事项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eastAsia="zh-CN"/>
        </w:rPr>
        <w:t>，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val="en-US" w:eastAsia="zh-CN"/>
        </w:rPr>
        <w:t>增加公开事项</w:t>
      </w:r>
    </w:p>
    <w:p w14:paraId="02C189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default" w:ascii="仿宋_GB2312" w:hAnsi="黑体" w:eastAsia="仿宋_GB2312" w:cs="仿宋_GB2312"/>
          <w:sz w:val="32"/>
          <w:szCs w:val="32"/>
          <w:lang w:val="en-US" w:eastAsia="zh-CN"/>
        </w:rPr>
      </w:pPr>
      <w:r>
        <w:rPr>
          <w:rFonts w:ascii="仿宋_GB2312" w:hAnsi="黑体" w:eastAsia="仿宋_GB2312" w:cs="仿宋_GB2312"/>
          <w:sz w:val="32"/>
          <w:szCs w:val="32"/>
        </w:rPr>
        <w:t>今年以来，</w:t>
      </w:r>
      <w:r>
        <w:rPr>
          <w:rFonts w:hint="eastAsia" w:ascii="仿宋_GB2312" w:hAnsi="黑体" w:eastAsia="仿宋_GB2312" w:cs="仿宋_GB2312"/>
          <w:sz w:val="32"/>
          <w:szCs w:val="32"/>
        </w:rPr>
        <w:t>通过</w:t>
      </w:r>
      <w:r>
        <w:rPr>
          <w:rFonts w:hint="eastAsia" w:ascii="仿宋_GB2312" w:hAnsi="黑体" w:eastAsia="仿宋_GB2312" w:cs="仿宋_GB2312"/>
          <w:sz w:val="32"/>
          <w:szCs w:val="32"/>
          <w:lang w:val="en-US" w:eastAsia="zh-CN"/>
        </w:rPr>
        <w:t>区政府</w:t>
      </w:r>
      <w:r>
        <w:rPr>
          <w:rFonts w:hint="eastAsia" w:ascii="仿宋_GB2312" w:hAnsi="黑体" w:eastAsia="仿宋_GB2312" w:cs="仿宋_GB2312"/>
          <w:sz w:val="32"/>
          <w:szCs w:val="32"/>
        </w:rPr>
        <w:t>门户</w:t>
      </w:r>
      <w:r>
        <w:rPr>
          <w:rFonts w:ascii="仿宋_GB2312" w:hAnsi="黑体" w:eastAsia="仿宋_GB2312" w:cs="仿宋_GB2312"/>
          <w:sz w:val="32"/>
          <w:szCs w:val="32"/>
        </w:rPr>
        <w:t>网站</w:t>
      </w:r>
      <w:r>
        <w:rPr>
          <w:rFonts w:hint="eastAsia" w:ascii="仿宋_GB2312" w:hAnsi="黑体" w:eastAsia="仿宋_GB2312" w:cs="仿宋_GB2312"/>
          <w:sz w:val="32"/>
          <w:szCs w:val="32"/>
        </w:rPr>
        <w:t>部门</w:t>
      </w:r>
      <w:r>
        <w:rPr>
          <w:rFonts w:ascii="仿宋_GB2312" w:hAnsi="黑体" w:eastAsia="仿宋_GB2312" w:cs="仿宋_GB2312"/>
          <w:sz w:val="32"/>
          <w:szCs w:val="32"/>
        </w:rPr>
        <w:t>栏目，先</w:t>
      </w:r>
      <w:r>
        <w:rPr>
          <w:rFonts w:ascii="仿宋_GB2312" w:hAnsi="黑体" w:eastAsia="仿宋_GB2312" w:cs="仿宋_GB2312"/>
          <w:sz w:val="32"/>
          <w:szCs w:val="32"/>
          <w:highlight w:val="none"/>
        </w:rPr>
        <w:t>后</w:t>
      </w:r>
      <w:r>
        <w:rPr>
          <w:rFonts w:hint="eastAsia" w:ascii="仿宋_GB2312" w:hAnsi="黑体" w:eastAsia="仿宋_GB2312" w:cs="仿宋_GB2312"/>
          <w:sz w:val="32"/>
          <w:szCs w:val="32"/>
          <w:highlight w:val="none"/>
          <w:lang w:val="en-US" w:eastAsia="zh-CN"/>
        </w:rPr>
        <w:t>对1个</w:t>
      </w:r>
      <w:r>
        <w:rPr>
          <w:rFonts w:ascii="仿宋_GB2312" w:hAnsi="黑体" w:eastAsia="仿宋_GB2312" w:cs="仿宋_GB2312"/>
          <w:sz w:val="32"/>
          <w:szCs w:val="32"/>
          <w:highlight w:val="none"/>
        </w:rPr>
        <w:t>批次</w:t>
      </w:r>
      <w:r>
        <w:rPr>
          <w:rFonts w:hint="eastAsia" w:ascii="仿宋_GB2312" w:hAnsi="黑体" w:eastAsia="仿宋_GB2312" w:cs="仿宋_GB2312"/>
          <w:sz w:val="32"/>
          <w:szCs w:val="32"/>
          <w:highlight w:val="none"/>
          <w:lang w:val="en-US" w:eastAsia="zh-CN"/>
        </w:rPr>
        <w:t>工</w:t>
      </w:r>
      <w:r>
        <w:rPr>
          <w:rFonts w:hint="eastAsia" w:ascii="仿宋_GB2312" w:hAnsi="黑体" w:eastAsia="仿宋_GB2312" w:cs="仿宋_GB2312"/>
          <w:sz w:val="32"/>
          <w:szCs w:val="32"/>
          <w:lang w:val="en-US" w:eastAsia="zh-CN"/>
        </w:rPr>
        <w:t>贸行业三级安全生产标准化达标企业、1个批次服务机构进行公告做好公开工作；同时，对区应急管理局涉及的行政检查事项、</w:t>
      </w:r>
      <w:r>
        <w:rPr>
          <w:rFonts w:hint="eastAsia" w:ascii="仿宋_GB2312" w:hAnsi="宋体" w:eastAsia="仿宋_GB2312"/>
          <w:sz w:val="32"/>
          <w:szCs w:val="32"/>
          <w:lang w:val="zh-TW" w:eastAsia="zh-CN"/>
        </w:rPr>
        <w:t>巡察整改情况、</w:t>
      </w:r>
      <w:r>
        <w:rPr>
          <w:rFonts w:hint="eastAsia" w:ascii="仿宋_GB2312" w:hAnsi="黑体" w:eastAsia="仿宋_GB2312" w:cs="仿宋_GB2312"/>
          <w:sz w:val="32"/>
          <w:szCs w:val="32"/>
          <w:lang w:val="en-US" w:eastAsia="zh-CN"/>
        </w:rPr>
        <w:t>2024年度区应急管理局法治政府建设等工作开展情况进行公告，增加群众对区级应急管理部门的工作监督。</w:t>
      </w:r>
    </w:p>
    <w:p w14:paraId="347B0B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三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  <w:t>）依规办结依申请公开事项</w:t>
      </w:r>
    </w:p>
    <w:p w14:paraId="38B71D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default" w:ascii="仿宋_GB2312" w:hAnsi="黑体" w:eastAsia="仿宋_GB2312" w:cs="仿宋_GB2312"/>
          <w:sz w:val="32"/>
          <w:szCs w:val="32"/>
          <w:highlight w:val="yellow"/>
          <w:lang w:val="en-US"/>
        </w:rPr>
      </w:pPr>
      <w:r>
        <w:rPr>
          <w:rFonts w:hint="eastAsia" w:ascii="仿宋_GB2312" w:hAnsi="黑体" w:eastAsia="仿宋_GB2312" w:cs="仿宋_GB2312"/>
          <w:sz w:val="32"/>
          <w:szCs w:val="32"/>
          <w:lang w:val="en-US" w:eastAsia="zh-CN"/>
        </w:rPr>
        <w:t>为高效规范办理社会公众提出的政府信息公开申请，我局确定局办公室作为全局依申请公开工作的责任科室，细化申请接收、审核、办理、答复全流程规范，明确办理标准与事项范围，进一步健全受理办理机制，严格落实操作细则与办结时限要求，持续提升政务服务专业化水平</w:t>
      </w:r>
      <w:r>
        <w:rPr>
          <w:rFonts w:hint="eastAsia" w:ascii="仿宋_GB2312" w:hAnsi="黑体" w:eastAsia="仿宋_GB2312" w:cs="仿宋_GB2312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仿宋_GB2312" w:hAnsi="黑体" w:eastAsia="仿宋_GB2312" w:cs="仿宋_GB2312"/>
          <w:sz w:val="32"/>
          <w:szCs w:val="32"/>
          <w:lang w:val="en-US" w:eastAsia="zh-CN"/>
        </w:rPr>
        <w:t>2025年度未收到政府信息公开申请数量，2024年度无结转至2025年度政府信息公开申请事项。</w:t>
      </w:r>
    </w:p>
    <w:p w14:paraId="125C33B8">
      <w:pPr>
        <w:spacing w:line="560" w:lineRule="exact"/>
        <w:rPr>
          <w:rFonts w:hint="eastAsia" w:ascii="仿宋_GB2312" w:hAnsi="黑体" w:eastAsia="仿宋_GB2312" w:cs="仿宋_GB2312"/>
          <w:sz w:val="32"/>
          <w:szCs w:val="32"/>
        </w:rPr>
      </w:pPr>
    </w:p>
    <w:p w14:paraId="1EC31445">
      <w:pPr>
        <w:pStyle w:val="2"/>
        <w:rPr>
          <w:rFonts w:hint="eastAsia" w:ascii="仿宋_GB2312" w:hAnsi="黑体" w:eastAsia="仿宋_GB2312" w:cs="仿宋_GB2312"/>
          <w:sz w:val="32"/>
          <w:szCs w:val="32"/>
        </w:rPr>
      </w:pPr>
    </w:p>
    <w:p w14:paraId="416F79A3">
      <w:pPr>
        <w:rPr>
          <w:rFonts w:hint="eastAsia" w:ascii="仿宋_GB2312" w:hAnsi="黑体" w:eastAsia="仿宋_GB2312" w:cs="仿宋_GB2312"/>
          <w:sz w:val="32"/>
          <w:szCs w:val="32"/>
        </w:rPr>
      </w:pPr>
    </w:p>
    <w:p w14:paraId="292477F5">
      <w:pPr>
        <w:pStyle w:val="2"/>
        <w:rPr>
          <w:rFonts w:hint="eastAsia"/>
        </w:rPr>
      </w:pPr>
    </w:p>
    <w:p w14:paraId="2A7324CA">
      <w:pPr>
        <w:spacing w:line="560" w:lineRule="exact"/>
        <w:ind w:firstLine="640" w:firstLineChars="200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二、主动公开政府信息情况</w:t>
      </w:r>
    </w:p>
    <w:tbl>
      <w:tblPr>
        <w:tblStyle w:val="4"/>
        <w:tblW w:w="8386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49"/>
        <w:gridCol w:w="1985"/>
        <w:gridCol w:w="2126"/>
        <w:gridCol w:w="2126"/>
      </w:tblGrid>
      <w:tr w14:paraId="5118BF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38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68A270C1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第二十条第（一）项</w:t>
            </w:r>
          </w:p>
        </w:tc>
      </w:tr>
      <w:tr w14:paraId="557AF9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CB6172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19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AC70A7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本年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制发件数</w:t>
            </w:r>
          </w:p>
        </w:tc>
        <w:tc>
          <w:tcPr>
            <w:tcW w:w="212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647829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本年废止件数</w:t>
            </w:r>
          </w:p>
        </w:tc>
        <w:tc>
          <w:tcPr>
            <w:tcW w:w="212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CE5D99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现行有效件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数</w:t>
            </w:r>
          </w:p>
        </w:tc>
      </w:tr>
      <w:tr w14:paraId="20CE95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042707"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规章</w:t>
            </w:r>
          </w:p>
        </w:tc>
        <w:tc>
          <w:tcPr>
            <w:tcW w:w="19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5A7973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21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DD20ED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21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970C0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</w:tr>
      <w:tr w14:paraId="576B9F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0968F9"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行政规范性文件</w:t>
            </w:r>
          </w:p>
        </w:tc>
        <w:tc>
          <w:tcPr>
            <w:tcW w:w="19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D0C188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212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AA8F55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212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59BB3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</w:tr>
      <w:tr w14:paraId="20D200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386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1779190A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第二十条第（五）项</w:t>
            </w:r>
          </w:p>
        </w:tc>
      </w:tr>
      <w:tr w14:paraId="2D2570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9DFE00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623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17F79B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本年处理决定数量</w:t>
            </w:r>
          </w:p>
        </w:tc>
      </w:tr>
      <w:tr w14:paraId="0D7B79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4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7AD30A">
            <w:pPr>
              <w:widowControl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行政许可</w:t>
            </w:r>
          </w:p>
        </w:tc>
        <w:tc>
          <w:tcPr>
            <w:tcW w:w="623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B67F52">
            <w:pPr>
              <w:widowControl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cs="Calibri"/>
                <w:kern w:val="0"/>
                <w:sz w:val="24"/>
                <w:szCs w:val="24"/>
                <w:highlight w:val="none"/>
                <w:lang w:val="en-US" w:eastAsia="zh-CN" w:bidi="ar"/>
              </w:rPr>
              <w:t>72</w:t>
            </w:r>
          </w:p>
        </w:tc>
      </w:tr>
      <w:tr w14:paraId="08BFFF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3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3713BF14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第二十条第（六）项</w:t>
            </w:r>
          </w:p>
        </w:tc>
      </w:tr>
      <w:tr w14:paraId="404E4E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0FD6CB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62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64459C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本年处理决定数量</w:t>
            </w:r>
          </w:p>
        </w:tc>
      </w:tr>
      <w:tr w14:paraId="4719A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8A2273"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行政处罚</w:t>
            </w:r>
          </w:p>
        </w:tc>
        <w:tc>
          <w:tcPr>
            <w:tcW w:w="62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E92789">
            <w:pPr>
              <w:widowControl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</w:tr>
      <w:tr w14:paraId="1C8C5B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3F2409"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行政强制</w:t>
            </w:r>
          </w:p>
        </w:tc>
        <w:tc>
          <w:tcPr>
            <w:tcW w:w="62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7E43CD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</w:tr>
      <w:tr w14:paraId="4B7325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3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26729EA9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第二十条第（八）项</w:t>
            </w:r>
          </w:p>
        </w:tc>
      </w:tr>
      <w:tr w14:paraId="7442F8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43FE10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62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7507F7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本年收费金额（单位：万元）</w:t>
            </w:r>
          </w:p>
        </w:tc>
      </w:tr>
      <w:tr w14:paraId="6B6FA1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903C15"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行政事业性收费</w:t>
            </w:r>
          </w:p>
        </w:tc>
        <w:tc>
          <w:tcPr>
            <w:tcW w:w="62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0C1E18">
            <w:pPr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</w:tbl>
    <w:p w14:paraId="707484FB">
      <w:pPr>
        <w:spacing w:line="560" w:lineRule="exact"/>
        <w:rPr>
          <w:rFonts w:hint="eastAsia" w:ascii="黑体" w:hAnsi="黑体" w:eastAsia="黑体" w:cs="仿宋_GB2312"/>
          <w:sz w:val="32"/>
          <w:szCs w:val="32"/>
        </w:rPr>
      </w:pPr>
    </w:p>
    <w:p w14:paraId="656C0A7B">
      <w:pPr>
        <w:spacing w:line="560" w:lineRule="exact"/>
        <w:ind w:firstLine="640" w:firstLineChars="200"/>
        <w:rPr>
          <w:rFonts w:hint="eastAsia" w:ascii="黑体" w:hAnsi="黑体" w:eastAsia="黑体" w:cs="仿宋_GB2312"/>
          <w:sz w:val="32"/>
          <w:szCs w:val="32"/>
          <w:highlight w:val="none"/>
        </w:rPr>
      </w:pPr>
      <w:r>
        <w:rPr>
          <w:rFonts w:hint="eastAsia" w:ascii="黑体" w:hAnsi="黑体" w:eastAsia="黑体" w:cs="仿宋_GB2312"/>
          <w:sz w:val="32"/>
          <w:szCs w:val="32"/>
        </w:rPr>
        <w:t>三、</w:t>
      </w:r>
      <w:r>
        <w:rPr>
          <w:rFonts w:hint="eastAsia" w:ascii="黑体" w:hAnsi="黑体" w:eastAsia="黑体" w:cs="仿宋_GB2312"/>
          <w:sz w:val="32"/>
          <w:szCs w:val="32"/>
          <w:highlight w:val="none"/>
        </w:rPr>
        <w:t>收到和处理政府信息公开申请情况</w:t>
      </w:r>
    </w:p>
    <w:tbl>
      <w:tblPr>
        <w:tblStyle w:val="4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9"/>
        <w:gridCol w:w="943"/>
        <w:gridCol w:w="3220"/>
        <w:gridCol w:w="688"/>
        <w:gridCol w:w="688"/>
        <w:gridCol w:w="688"/>
        <w:gridCol w:w="688"/>
        <w:gridCol w:w="688"/>
        <w:gridCol w:w="688"/>
        <w:gridCol w:w="688"/>
      </w:tblGrid>
      <w:tr w14:paraId="09C95D9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21D13F0">
            <w:pPr>
              <w:widowControl/>
              <w:jc w:val="left"/>
            </w:pPr>
            <w:r>
              <w:rPr>
                <w:rFonts w:ascii="楷体" w:hAnsi="楷体" w:eastAsia="楷体" w:cs="楷体"/>
                <w:kern w:val="0"/>
                <w:sz w:val="20"/>
                <w:szCs w:val="20"/>
                <w:lang w:bidi="ar"/>
              </w:rPr>
              <w:t>（本列数据的勾稽关系为：第一项加第二项之和，等于第三项加第四项之和）</w:t>
            </w:r>
          </w:p>
        </w:tc>
        <w:tc>
          <w:tcPr>
            <w:tcW w:w="4816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641A90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申请人情况</w:t>
            </w:r>
          </w:p>
        </w:tc>
      </w:tr>
      <w:tr w14:paraId="02014B7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79302F7">
            <w:pPr>
              <w:rPr>
                <w:rFonts w:hint="eastAsia" w:ascii="宋体"/>
                <w:sz w:val="24"/>
              </w:rPr>
            </w:pPr>
          </w:p>
        </w:tc>
        <w:tc>
          <w:tcPr>
            <w:tcW w:w="688" w:type="dxa"/>
            <w:vMerge w:val="restart"/>
            <w:tcBorders>
              <w:top w:val="single" w:color="auto" w:sz="0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7D2A85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自然人</w:t>
            </w:r>
          </w:p>
        </w:tc>
        <w:tc>
          <w:tcPr>
            <w:tcW w:w="3440" w:type="dxa"/>
            <w:gridSpan w:val="5"/>
            <w:tcBorders>
              <w:top w:val="single" w:color="auto" w:sz="8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FB332C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法人或其他组织</w:t>
            </w:r>
          </w:p>
        </w:tc>
        <w:tc>
          <w:tcPr>
            <w:tcW w:w="688" w:type="dxa"/>
            <w:vMerge w:val="restart"/>
            <w:tcBorders>
              <w:top w:val="single" w:color="auto" w:sz="8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FC223C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总计</w:t>
            </w:r>
          </w:p>
        </w:tc>
      </w:tr>
      <w:tr w14:paraId="713805D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1078526">
            <w:pPr>
              <w:rPr>
                <w:rFonts w:hint="eastAsia" w:ascii="宋体"/>
                <w:sz w:val="24"/>
              </w:rPr>
            </w:pPr>
          </w:p>
        </w:tc>
        <w:tc>
          <w:tcPr>
            <w:tcW w:w="688" w:type="dxa"/>
            <w:vMerge w:val="continue"/>
            <w:tcBorders>
              <w:top w:val="single" w:color="auto" w:sz="0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CD92AE">
            <w:pPr>
              <w:rPr>
                <w:rFonts w:hint="eastAsia" w:ascii="宋体"/>
                <w:sz w:val="24"/>
              </w:rPr>
            </w:pP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F1A32A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商业</w:t>
            </w:r>
          </w:p>
          <w:p w14:paraId="53E48C9F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企业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1AF894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科研</w:t>
            </w:r>
          </w:p>
          <w:p w14:paraId="2349F71E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机构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ACA17C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社会公益组织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BA987A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法律服务机构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4E9962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其他</w:t>
            </w:r>
          </w:p>
        </w:tc>
        <w:tc>
          <w:tcPr>
            <w:tcW w:w="688" w:type="dxa"/>
            <w:vMerge w:val="continue"/>
            <w:tcBorders>
              <w:top w:val="single" w:color="auto" w:sz="8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B7D2B9">
            <w:pPr>
              <w:rPr>
                <w:rFonts w:hint="eastAsia" w:ascii="宋体"/>
                <w:sz w:val="24"/>
              </w:rPr>
            </w:pPr>
          </w:p>
        </w:tc>
      </w:tr>
      <w:tr w14:paraId="6BF22D3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37D02E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一、本年新收政府信息公开申请数量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A6451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Calibri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DA3201">
            <w:pPr>
              <w:widowControl/>
              <w:jc w:val="center"/>
              <w:rPr>
                <w:rFonts w:hint="default" w:ascii="宋体" w:hAnsi="宋体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4B87B4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CC1DDF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9C00F3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9FDC23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6E965CF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</w:tr>
      <w:tr w14:paraId="4368C0D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6D6847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二、上年结转政府信息公开申请数量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F04DF3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41C120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18E39E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B07B58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3E1B72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F12EE5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C3ECA19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</w:tr>
      <w:tr w14:paraId="398DAA2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restart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A2024F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三、本年度办理结果</w:t>
            </w: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CCFBD5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（一）予以公开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173C6A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Calibri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46F1E6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A0FEE4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91140B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8E5D22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1D4C8E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64D54E5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</w:tr>
      <w:tr w14:paraId="7A344B0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17B81A">
            <w:pPr>
              <w:rPr>
                <w:rFonts w:hint="eastAsia" w:ascii="宋体"/>
                <w:sz w:val="24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480201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bidi="ar"/>
              </w:rPr>
              <w:t>（区分处理的，只计这一情形，不计其他情形）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3A23A1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2E9D1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FD328C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DD5E35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3A28A8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04AF52B">
            <w:pPr>
              <w:widowControl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4E34F29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</w:tr>
      <w:tr w14:paraId="632F95F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27A6B0">
            <w:pPr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743687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（三）不予公开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BF0F374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1.属于国家秘密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71C3141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55BB915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1C5D616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F56F111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5724273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A786A12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7F096D6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</w:tr>
      <w:tr w14:paraId="075A72C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2F6E41">
            <w:pPr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638EB6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A7B30B2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2.其他法律行政法规禁止公开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F46CC2F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DA9FDE8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F51D5D4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DEC5692">
            <w:pPr>
              <w:widowControl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C125006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A5B2374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66BAE96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</w:tr>
      <w:tr w14:paraId="1916CE0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E292AF">
            <w:pPr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C1CB08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D14E448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3.危及“三安全一稳定”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03BE0B8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2B00DCC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D94EA51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FAF2D32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EB32BDF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D722EA3">
            <w:pPr>
              <w:widowControl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9F4EE0C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</w:tr>
      <w:tr w14:paraId="79844A5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43A16E">
            <w:pPr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4BC55C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97FB2EC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4.保护第三方合法权益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DD2C64C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F27A3BE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953D93D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0088C16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6730838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D549527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7135F32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</w:tr>
      <w:tr w14:paraId="11D4490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509D6A">
            <w:pPr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99C278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02BB1F9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5.属于三类内部事务信息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262AE8D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DB269DF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0CBD903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A2DD83D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02DA400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E40593E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FFCC86D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</w:tr>
      <w:tr w14:paraId="092EB55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1C8E3B">
            <w:pPr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7BD74A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F831CBC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6.属于四类过程性信息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6D8862B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60F8AD4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7B469DF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85F7EC8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37B46FC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C2783F3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E3494E4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</w:tr>
      <w:tr w14:paraId="2C163E6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6AC7B6">
            <w:pPr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67EB2F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62DF96A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7.属于行政执法案卷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A8DB4D3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80B6F91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4CD2E2D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7F386AA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C82A9B6">
            <w:pPr>
              <w:widowControl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088BEF7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9259394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</w:tr>
      <w:tr w14:paraId="4559DF8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A51586">
            <w:pPr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EB94FF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926232A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8.属于行政查询事项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9F85659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05C54C7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C541DC7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7919199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2610CDD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DE3035A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F31A0F3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</w:tr>
      <w:tr w14:paraId="54A061B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9CBD28">
            <w:pPr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A32801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（四）无法提供</w:t>
            </w:r>
          </w:p>
        </w:tc>
        <w:tc>
          <w:tcPr>
            <w:tcW w:w="3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D2DF3A8">
            <w:pPr>
              <w:widowControl/>
              <w:tabs>
                <w:tab w:val="right" w:pos="3106"/>
              </w:tabs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1.本机关不掌握相关政府信息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 w:bidi="ar"/>
              </w:rPr>
              <w:tab/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C7C5624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810BE2A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3EC8E54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267962C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D5EDA36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0DD997D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8EF948C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A17A2B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BE70E1">
            <w:pPr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358CCC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955A5A9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2.没有现成信息需要另行制作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3F68CD3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5D724D1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45026E9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E8C3C29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D4E0F65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BF2AE16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49D7C16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32044CF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BD278F">
            <w:pPr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FB8053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844B250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3.补正后申请内容仍不明确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D4A3A9D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130EDD5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60C27A8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3EE570C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BB3E75A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8A105DA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F1AADD5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4B4D423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577647">
            <w:pPr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3DB343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（五）不予处理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088A4D2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1.信访举报投诉类申请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A392E4C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88BECA7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12D4784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D088308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2EB7E9A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B3E925C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BE9A769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23963C8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A34DBF">
            <w:pPr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9941BC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81FDBA8">
            <w:pPr>
              <w:widowControl/>
              <w:tabs>
                <w:tab w:val="right" w:pos="3106"/>
              </w:tabs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2.重复申请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 w:bidi="ar"/>
              </w:rPr>
              <w:tab/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0D119E1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049B013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7E74C9A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EB04812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909DD35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29115F9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78A5DCF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7A17E34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105F50">
            <w:pPr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B62A81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C4A9D97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3.要求提供公开出版物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0C3D44B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1EB95BC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1A4CE93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F62DBDE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8DE7F0E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C139F9C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EA3D1A5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2AF59BE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5C5D45">
            <w:pPr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D1571C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87B5DEB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4.无正当理由大量反复申请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E3F141D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F7001BE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FE3BD80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BF4D0FF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8D8BA9A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6A7A3CE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4C8159C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4F4D0DA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FFC802">
            <w:pPr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65FA41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single" w:color="auto" w:sz="0" w:space="0"/>
              <w:left w:val="single" w:color="auto" w:sz="0" w:space="0"/>
              <w:bottom w:val="single" w:color="auto" w:sz="4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0917E4">
            <w:pPr>
              <w:widowControl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5.要求行政机关确认或重新出具已获取信息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4FFCEE8">
            <w:pPr>
              <w:widowControl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976984A">
            <w:pPr>
              <w:widowControl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27CD2E1">
            <w:pPr>
              <w:widowControl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BFC93A3">
            <w:pPr>
              <w:widowControl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91B554E">
            <w:pPr>
              <w:widowControl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BF3F9B3">
            <w:pPr>
              <w:widowControl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D57AFF2">
            <w:pPr>
              <w:widowControl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66500C7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AE6101">
            <w:pPr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single" w:color="auto" w:sz="0" w:space="0"/>
              <w:bottom w:val="outset" w:color="auto" w:sz="8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1D6698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（六）其他处理</w:t>
            </w:r>
          </w:p>
        </w:tc>
        <w:tc>
          <w:tcPr>
            <w:tcW w:w="3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1C18C3">
            <w:pPr>
              <w:widowControl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1.申请人无正当理由逾期不补正、行政机关不再处理其政府信息公开申请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764EF8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831246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23B5B5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C3D730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6554ED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326A60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682B95F">
            <w:pPr>
              <w:widowControl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5E5095E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4AA93E">
            <w:pPr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13761A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8AD65">
            <w:pPr>
              <w:widowControl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D4309B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F91573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76A0B8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6A54C1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BD1036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ABD1DB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A832A1F">
            <w:pPr>
              <w:widowControl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3BAF957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8AD982">
            <w:pPr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CA2A13">
            <w:pPr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C2FE94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3.其他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1EE8CA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E2C9E5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EF8CCF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819B1C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0DD520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49A660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39F0BB3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3BD660F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BBB5BF">
            <w:pPr>
              <w:rPr>
                <w:rFonts w:hint="eastAsia" w:ascii="宋体"/>
                <w:sz w:val="24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D03140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（七）总计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C96716">
            <w:pPr>
              <w:widowControl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4F4BB3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469C81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F3FC35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E11252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D6AF36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5C90D0A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11CCEC0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D3B86D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四、结转下年度继续办理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CE438E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B053CA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A7B145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468C4D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6AFC11">
            <w:pPr>
              <w:widowControl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48934F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28C6941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3A02424D">
      <w:pPr>
        <w:spacing w:line="560" w:lineRule="exact"/>
        <w:rPr>
          <w:rFonts w:hint="eastAsia" w:ascii="黑体" w:hAnsi="黑体" w:eastAsia="黑体" w:cs="仿宋_GB2312"/>
          <w:sz w:val="32"/>
          <w:szCs w:val="32"/>
        </w:rPr>
      </w:pPr>
    </w:p>
    <w:p w14:paraId="70D83C7D">
      <w:pPr>
        <w:spacing w:line="560" w:lineRule="exact"/>
        <w:ind w:firstLine="640" w:firstLineChars="200"/>
        <w:jc w:val="left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四、政府信息公开行政复议、行政诉讼情况</w:t>
      </w:r>
    </w:p>
    <w:tbl>
      <w:tblPr>
        <w:tblStyle w:val="4"/>
        <w:tblW w:w="9666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73"/>
        <w:gridCol w:w="708"/>
        <w:gridCol w:w="569"/>
        <w:gridCol w:w="650"/>
        <w:gridCol w:w="650"/>
        <w:gridCol w:w="650"/>
        <w:gridCol w:w="650"/>
        <w:gridCol w:w="517"/>
        <w:gridCol w:w="783"/>
        <w:gridCol w:w="650"/>
        <w:gridCol w:w="650"/>
        <w:gridCol w:w="650"/>
        <w:gridCol w:w="568"/>
      </w:tblGrid>
      <w:tr w14:paraId="3B1EED0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4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57667B1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行政复议</w:t>
            </w:r>
          </w:p>
        </w:tc>
        <w:tc>
          <w:tcPr>
            <w:tcW w:w="641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DCF5106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行政诉讼</w:t>
            </w:r>
          </w:p>
        </w:tc>
      </w:tr>
      <w:tr w14:paraId="54082C4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3FFA37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D78B252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结果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7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E9DE99B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其他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结果</w:t>
            </w:r>
          </w:p>
        </w:tc>
        <w:tc>
          <w:tcPr>
            <w:tcW w:w="708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80A6D4C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尚未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审结</w:t>
            </w:r>
          </w:p>
        </w:tc>
        <w:tc>
          <w:tcPr>
            <w:tcW w:w="56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09102EC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总计</w:t>
            </w:r>
          </w:p>
        </w:tc>
        <w:tc>
          <w:tcPr>
            <w:tcW w:w="3117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500BD85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未经复议直接起诉</w:t>
            </w:r>
          </w:p>
        </w:tc>
        <w:tc>
          <w:tcPr>
            <w:tcW w:w="330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2F61B5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复议后起诉</w:t>
            </w:r>
          </w:p>
        </w:tc>
      </w:tr>
      <w:tr w14:paraId="31A4D6F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126145B">
            <w:pPr>
              <w:rPr>
                <w:rFonts w:hint="eastAsia" w:ascii="宋体"/>
                <w:sz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CB2FA01">
            <w:pPr>
              <w:rPr>
                <w:rFonts w:hint="eastAsia" w:ascii="宋体"/>
                <w:sz w:val="24"/>
              </w:rPr>
            </w:pPr>
          </w:p>
        </w:tc>
        <w:tc>
          <w:tcPr>
            <w:tcW w:w="67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4F82723">
            <w:pPr>
              <w:rPr>
                <w:rFonts w:hint="eastAsia" w:ascii="宋体"/>
                <w:sz w:val="24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803D31E">
            <w:pPr>
              <w:rPr>
                <w:rFonts w:hint="eastAsia" w:ascii="宋体"/>
                <w:sz w:val="24"/>
              </w:rPr>
            </w:pPr>
          </w:p>
        </w:tc>
        <w:tc>
          <w:tcPr>
            <w:tcW w:w="56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CB83D43">
            <w:pPr>
              <w:rPr>
                <w:rFonts w:hint="eastAsia" w:ascii="宋体"/>
                <w:sz w:val="24"/>
              </w:rPr>
            </w:pP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E67882D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结果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维持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810FFFD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结果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29426A0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其他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6C3C26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尚未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审结</w:t>
            </w:r>
          </w:p>
        </w:tc>
        <w:tc>
          <w:tcPr>
            <w:tcW w:w="5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3C3026C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总计</w:t>
            </w:r>
          </w:p>
        </w:tc>
        <w:tc>
          <w:tcPr>
            <w:tcW w:w="7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F5F35F5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结果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维持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5C439C8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结果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172808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其他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B580952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尚未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审结</w:t>
            </w:r>
          </w:p>
        </w:tc>
        <w:tc>
          <w:tcPr>
            <w:tcW w:w="5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C28AC57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总计</w:t>
            </w:r>
          </w:p>
        </w:tc>
      </w:tr>
      <w:tr w14:paraId="5985A50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4F55678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9AB02C7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A209E0D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E8480C7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6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934425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1D5F937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3FE25C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253CD88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187CC5A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D2D414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ECCA28E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58B1905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26C4952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BBCCF15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6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F051849">
            <w:pPr>
              <w:widowControl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58307367">
      <w:pPr>
        <w:widowControl/>
        <w:jc w:val="left"/>
      </w:pPr>
    </w:p>
    <w:p w14:paraId="44F57096">
      <w:pPr>
        <w:spacing w:line="520" w:lineRule="exact"/>
        <w:ind w:firstLine="640" w:firstLineChars="200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五、存在的主要问题及改进情况</w:t>
      </w:r>
    </w:p>
    <w:p w14:paraId="3B18867F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年度，我局政府信息公开工作虽取得一定进展，但对照上级工作要求和群众期盼仍存在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一些不足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</w:rPr>
        <w:t>公开内容深度不足，现有公开信息多以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上级要求的必须公开的内容（事项）</w:t>
      </w:r>
      <w:r>
        <w:rPr>
          <w:rFonts w:hint="eastAsia" w:ascii="仿宋_GB2312" w:hAnsi="仿宋_GB2312" w:eastAsia="仿宋_GB2312" w:cs="仿宋_GB2312"/>
          <w:sz w:val="32"/>
          <w:szCs w:val="32"/>
        </w:rPr>
        <w:t>为主，针对应急管理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防灾减灾等领域的政策解读、典型案例分析等深层次内容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公开还不够广泛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</w:rPr>
        <w:t>公开渠道效能有待提升，各公开平台（网站、公众号等）存在信息发布不同步、更新频次不均衡的问题，部分平台互动功能发挥不充分，对公众咨询的响应效率和针对性有待加强。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工作机制仍需完善，信息公开与业务工作协同联动不够紧密，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局办公室与业务科室在工作沟通、</w:t>
      </w:r>
      <w:r>
        <w:rPr>
          <w:rFonts w:hint="eastAsia" w:ascii="仿宋_GB2312" w:hAnsi="仿宋_GB2312" w:eastAsia="仿宋_GB2312" w:cs="仿宋_GB2312"/>
          <w:sz w:val="32"/>
          <w:szCs w:val="32"/>
        </w:rPr>
        <w:t>信息筛选、分类梳理、规范发布等环节的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协作还不够紧密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78EDDEA7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针对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这些不足</w:t>
      </w:r>
      <w:r>
        <w:rPr>
          <w:rFonts w:hint="eastAsia" w:ascii="仿宋_GB2312" w:hAnsi="仿宋_GB2312" w:eastAsia="仿宋_GB2312" w:cs="仿宋_GB2312"/>
          <w:sz w:val="32"/>
          <w:szCs w:val="32"/>
        </w:rPr>
        <w:t>，为进一步提升工作质效，制定如下改进措施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</w:rPr>
        <w:t>深化公开内容，聚焦应急管理、防灾减灾等领域，采用图文、问答、案例剖析等群众易懂的形式发布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相关内容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优</w:t>
      </w:r>
      <w:r>
        <w:rPr>
          <w:rFonts w:hint="eastAsia" w:ascii="仿宋_GB2312" w:hAnsi="仿宋_GB2312" w:eastAsia="仿宋_GB2312" w:cs="仿宋_GB2312"/>
          <w:sz w:val="32"/>
          <w:szCs w:val="32"/>
        </w:rPr>
        <w:t>化互动功能应用，指定专人负责公众咨询、留言的受理与答复，提升群众满意度。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</w:rPr>
        <w:t>健全工作机制，强化协同联动合力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构建“办公室统筹+业务科室落实”的信息公开工作体系，明确办公室的统筹协调、审核把关职责，建立工作会商机制，解决信息筛选、内容审核、规范发布等环节存在的问题，形成上下联动、齐抓共管的工作格局。</w:t>
      </w:r>
    </w:p>
    <w:p w14:paraId="2D42CE8E">
      <w:pPr>
        <w:spacing w:line="520" w:lineRule="exact"/>
        <w:ind w:firstLine="640" w:firstLineChars="200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六、其他需要报告的事项</w:t>
      </w:r>
    </w:p>
    <w:p w14:paraId="178B705B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本机关在办理202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年度政府信息公开申请中未收取信息处理费。</w:t>
      </w:r>
    </w:p>
    <w:p w14:paraId="4D794F62"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B45636F">
      <w:pPr>
        <w:rPr>
          <w:rFonts w:hint="eastAsia"/>
          <w:lang w:eastAsia="zh-CN"/>
        </w:rPr>
      </w:pPr>
    </w:p>
    <w:p w14:paraId="0B689376">
      <w:pPr>
        <w:spacing w:line="520" w:lineRule="exact"/>
        <w:ind w:firstLine="5120" w:firstLineChars="16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苏州市相城区应急管理局  </w:t>
      </w:r>
    </w:p>
    <w:p w14:paraId="1B0BB0B0">
      <w:pPr>
        <w:wordWrap w:val="0"/>
        <w:spacing w:line="520" w:lineRule="exact"/>
        <w:ind w:firstLine="640" w:firstLineChars="200"/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2026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sectPr>
      <w:footerReference r:id="rId3" w:type="default"/>
      <w:pgSz w:w="11906" w:h="16838"/>
      <w:pgMar w:top="2098" w:right="1531" w:bottom="1985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EBE65D2-8C74-469B-82A1-8DC9832DB6A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680C842-B13C-43E7-99F2-C592A5CAFC5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10AB5A42-B7F2-4E90-B1BF-1952DCBF70B6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31F2448E-B810-438B-A34E-5FB852055145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3067BCC9-052B-4B62-8A2E-21CF6FE40E4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99E1F4">
    <w:pPr>
      <w:pStyle w:val="3"/>
      <w:jc w:val="center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4 -</w:t>
    </w:r>
    <w:r>
      <w:rPr>
        <w:rFonts w:ascii="宋体" w:hAnsi="宋体"/>
        <w:sz w:val="28"/>
        <w:szCs w:val="28"/>
      </w:rPr>
      <w:fldChar w:fldCharType="end"/>
    </w:r>
  </w:p>
  <w:p w14:paraId="3185483D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ZlNjAwNjMyOGMxOGRiYmEwMTc3NzBjODFiYTBmMTIifQ=="/>
  </w:docVars>
  <w:rsids>
    <w:rsidRoot w:val="00000000"/>
    <w:rsid w:val="02300221"/>
    <w:rsid w:val="038343F5"/>
    <w:rsid w:val="07C6554E"/>
    <w:rsid w:val="0B890D25"/>
    <w:rsid w:val="0D7743A7"/>
    <w:rsid w:val="0F6F7EDB"/>
    <w:rsid w:val="0FC5491D"/>
    <w:rsid w:val="11823EC9"/>
    <w:rsid w:val="186637F5"/>
    <w:rsid w:val="1A253F8B"/>
    <w:rsid w:val="1A5926B9"/>
    <w:rsid w:val="1F805BBC"/>
    <w:rsid w:val="21EE5194"/>
    <w:rsid w:val="27690B6C"/>
    <w:rsid w:val="29EC675F"/>
    <w:rsid w:val="2D1664DB"/>
    <w:rsid w:val="2D986F2F"/>
    <w:rsid w:val="2DF83A39"/>
    <w:rsid w:val="30CE0A81"/>
    <w:rsid w:val="35FA35FC"/>
    <w:rsid w:val="39E3712E"/>
    <w:rsid w:val="3C501086"/>
    <w:rsid w:val="3E171CB9"/>
    <w:rsid w:val="430B4B18"/>
    <w:rsid w:val="43EB1EB8"/>
    <w:rsid w:val="470F1A4A"/>
    <w:rsid w:val="492670AF"/>
    <w:rsid w:val="49A53D56"/>
    <w:rsid w:val="4B5F7B24"/>
    <w:rsid w:val="51654692"/>
    <w:rsid w:val="51AE6039"/>
    <w:rsid w:val="54901A26"/>
    <w:rsid w:val="562E5095"/>
    <w:rsid w:val="57833AC4"/>
    <w:rsid w:val="5BC85F49"/>
    <w:rsid w:val="61B30580"/>
    <w:rsid w:val="62B66A95"/>
    <w:rsid w:val="63BA0BE3"/>
    <w:rsid w:val="66DB7A5B"/>
    <w:rsid w:val="67362901"/>
    <w:rsid w:val="689003B1"/>
    <w:rsid w:val="6955760D"/>
    <w:rsid w:val="6A335D07"/>
    <w:rsid w:val="6C6A1184"/>
    <w:rsid w:val="6E2E1BD4"/>
    <w:rsid w:val="73C75E6B"/>
    <w:rsid w:val="74C066E0"/>
    <w:rsid w:val="75CF360C"/>
    <w:rsid w:val="77106CCA"/>
    <w:rsid w:val="78C6628C"/>
    <w:rsid w:val="7D0D1A24"/>
    <w:rsid w:val="7D44147C"/>
    <w:rsid w:val="7EF25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段"/>
    <w:next w:val="1"/>
    <w:autoRedefine/>
    <w:qFormat/>
    <w:uiPriority w:val="0"/>
    <w:pPr>
      <w:autoSpaceDE w:val="0"/>
      <w:autoSpaceDN w:val="0"/>
      <w:ind w:firstLine="20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  <w:style w:type="paragraph" w:styleId="3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1573</Words>
  <Characters>1620</Characters>
  <Lines>0</Lines>
  <Paragraphs>0</Paragraphs>
  <TotalTime>16</TotalTime>
  <ScaleCrop>false</ScaleCrop>
  <LinksUpToDate>false</LinksUpToDate>
  <CharactersWithSpaces>1622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2023-01-17T01:28:00Z</dcterms:created>
  <dc:creator>USER</dc:creator>
  <cp:lastModifiedBy>百年围城</cp:lastModifiedBy>
  <cp:lastPrinted>2024-01-24T07:14:00Z</cp:lastPrinted>
  <dcterms:modified xsi:type="dcterms:W3CDTF">2026-01-16T02:32:15Z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CDA4A803609E42809127FDFD34FFE7D1_13</vt:lpwstr>
  </property>
  <property fmtid="{D5CDD505-2E9C-101B-9397-08002B2CF9AE}" pid="4" name="KSOTemplateDocerSaveRecord">
    <vt:lpwstr>eyJoZGlkIjoiYjc2YTU1NTQ4ZTJiZjY4MjY5OTQ0NjViODEyOTZjOWEiLCJ1c2VySWQiOiIyOTE0MDg2MzcifQ==</vt:lpwstr>
  </property>
</Properties>
</file>