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苏州市相城区2023年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慢性病及社会影响因素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《“健康中国2030”规划纲要》指出：健康是促进人的全面发展的必然要求，是经济社会发展的基础条件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然而，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随着社会经济的发展，人民生活水平的提高和人口老龄化的日益突出，以心脑血管疾病、肿瘤、糖尿病等疾病为主的慢性非传染性疾病（以下简称慢性病）已成为越来越严重的公共卫生问题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慢性病及社会影响因素调查也叫“社区诊断调查”，就是通过社会学、人类学、流行病学、管理学等方法，对辖区的主要公共卫生问题及其影响因素、社区资源配置和服务利用进行客观、科学的确定与评价（健康需求+资源需求），为政府制定相应的卫生政策和措施提供科学依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2023年相城区组织开展了慢性病及社会影响因素调查工作，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并结合人口数据、社会经济、环境状况、卫生状况、死因监测报告等资料形成了《相城区2023年慢性病及社会影响因素调查报告》，现将结果发布如下：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一、人口学基本特征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年末相城区总人口为101.82万人，其中，户籍人口为49.79万人（48.90%），流动人口为52.03万人（51.10%）；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男性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人口为49.79万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48.90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%），女性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人口为52.03万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51.10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男女性别比为0.96：1。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年末相城区户籍人口中，60岁以上人口数为11.42万人，占全户籍人口的22.94%；65岁以上人口数为9.33万人，占全户籍人口的18.74%，两个数据均表明相城区已进入“中度老龄化”社会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相城区全年户籍人口出生率8.07‰，年死亡率7.54‰，自然增长率0.53‰，呈微弱的正增长。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二、居民主要死亡原因和平均期望寿命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2022年相城区户籍人口死亡3706人，总死亡率为754.03/10万，标化死亡率为384.28/10万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男性死亡2015人，死亡率为843.13/10万，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标化死亡率为490.64 /10万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女性死亡1691人，死亡率为669.70/10万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标化死亡率为292.34/10万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男性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死亡率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高于女性。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2022年相城区户籍居民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前五位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死亡原因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依次为恶性肿瘤、脑血管病、心脏病、伤害、呼吸系统疾病，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共占全部死亡的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80.22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%（表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9" w:leftChars="152" w:hanging="3520" w:hangingChars="11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表1：2022年相城区户籍居民前五位死因死亡率、构成及顺位</w:t>
      </w:r>
    </w:p>
    <w:tbl>
      <w:tblPr>
        <w:tblStyle w:val="9"/>
        <w:tblW w:w="91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244"/>
        <w:gridCol w:w="1704"/>
        <w:gridCol w:w="2784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顺位</w:t>
            </w: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死    因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死亡数</w:t>
            </w:r>
          </w:p>
        </w:tc>
        <w:tc>
          <w:tcPr>
            <w:tcW w:w="27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粗死亡率（/10万）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构成比（%）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恶性肿瘤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207.53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脑血管病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心脏病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伤害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79.76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呼吸系统疾病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62.67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合计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2973</w:t>
            </w:r>
          </w:p>
        </w:tc>
        <w:tc>
          <w:tcPr>
            <w:tcW w:w="27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604.9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80.22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2022年相城区户籍居民人均期望寿命为82.27岁。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三、居民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主要慢性病死亡报告及早死概率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2022年相城区户籍居民的主要死亡原因仍为慢性非传染性疾病，前三位死因分别为恶性肿瘤、脑血管病和心脏病，共报告死亡2273例，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死亡人数的61.33%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2022年30-70岁人群重大慢性病（恶性肿瘤、心血管病疾病、糖尿病、慢性呼吸系统疾病）过早死亡率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7.90%。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四、居民重大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慢性病发病情况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2022年相城区居民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前四位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慢性病发病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为脑卒中、恶性肿瘤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糖尿病和冠心病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表2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2022年脑卒中发病率为608.1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/10万，其中男性6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/10万，女性550.49/10万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恶性肿瘤发病率为462.47/10万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男性512.15/10万，女性415.44/10万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恶性肿瘤发病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前三位分别是肺癌、胃癌和乳腺癌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2型糖尿病发病率为355.24/10万，其中男性409.22/10万，女性304.15/10万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冠心病发病率为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331.23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/10万，其中男性376.16/10万，女性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288.71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/10万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详见表2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相城区居民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前四位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慢性病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病率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病率（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/10万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及顺位</w:t>
      </w:r>
    </w:p>
    <w:tbl>
      <w:tblPr>
        <w:tblStyle w:val="10"/>
        <w:tblW w:w="5459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392"/>
        <w:gridCol w:w="1083"/>
        <w:gridCol w:w="1325"/>
        <w:gridCol w:w="1152"/>
        <w:gridCol w:w="1394"/>
        <w:gridCol w:w="10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bookmarkStart w:id="0" w:name="_Hlk143777863"/>
          </w:p>
        </w:tc>
        <w:tc>
          <w:tcPr>
            <w:tcW w:w="1250" w:type="pct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总人群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病率</w:t>
            </w:r>
          </w:p>
        </w:tc>
        <w:tc>
          <w:tcPr>
            <w:tcW w:w="1251" w:type="pct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男性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病率</w:t>
            </w:r>
          </w:p>
        </w:tc>
        <w:tc>
          <w:tcPr>
            <w:tcW w:w="1247" w:type="pct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女性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疾病</w:t>
            </w:r>
          </w:p>
        </w:tc>
        <w:tc>
          <w:tcPr>
            <w:tcW w:w="70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病率</w:t>
            </w:r>
          </w:p>
        </w:tc>
        <w:tc>
          <w:tcPr>
            <w:tcW w:w="5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标化率</w:t>
            </w:r>
          </w:p>
        </w:tc>
        <w:tc>
          <w:tcPr>
            <w:tcW w:w="6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病率</w:t>
            </w:r>
          </w:p>
        </w:tc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标化率</w:t>
            </w:r>
          </w:p>
        </w:tc>
        <w:tc>
          <w:tcPr>
            <w:tcW w:w="7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病率</w:t>
            </w:r>
          </w:p>
        </w:tc>
        <w:tc>
          <w:tcPr>
            <w:tcW w:w="54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标化率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1" w:name="_Hlk148452751"/>
            <w:bookmarkStart w:id="2" w:name="_Hlk14845312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脑卒中</w:t>
            </w:r>
          </w:p>
        </w:tc>
        <w:tc>
          <w:tcPr>
            <w:tcW w:w="70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608.15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360.39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669.06</w:t>
            </w:r>
          </w:p>
        </w:tc>
        <w:tc>
          <w:tcPr>
            <w:tcW w:w="5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421.74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550.49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305.00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恶性肿瘤</w:t>
            </w:r>
          </w:p>
        </w:tc>
        <w:tc>
          <w:tcPr>
            <w:tcW w:w="70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462.47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325.77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512.15</w:t>
            </w:r>
          </w:p>
        </w:tc>
        <w:tc>
          <w:tcPr>
            <w:tcW w:w="5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335.00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415.44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317.73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2型糖尿病</w:t>
            </w:r>
          </w:p>
        </w:tc>
        <w:tc>
          <w:tcPr>
            <w:tcW w:w="703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355.24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272.34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409.22</w:t>
            </w:r>
          </w:p>
        </w:tc>
        <w:tc>
          <w:tcPr>
            <w:tcW w:w="582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325.18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304.15  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223.83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冠心病</w:t>
            </w:r>
          </w:p>
        </w:tc>
        <w:tc>
          <w:tcPr>
            <w:tcW w:w="70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331.23</w:t>
            </w:r>
          </w:p>
        </w:tc>
        <w:tc>
          <w:tcPr>
            <w:tcW w:w="547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210.46</w:t>
            </w:r>
          </w:p>
        </w:tc>
        <w:tc>
          <w:tcPr>
            <w:tcW w:w="669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376.16</w:t>
            </w:r>
          </w:p>
        </w:tc>
        <w:tc>
          <w:tcPr>
            <w:tcW w:w="582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253.34</w:t>
            </w:r>
          </w:p>
        </w:tc>
        <w:tc>
          <w:tcPr>
            <w:tcW w:w="704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288.71</w:t>
            </w:r>
          </w:p>
        </w:tc>
        <w:tc>
          <w:tcPr>
            <w:tcW w:w="543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172.02</w:t>
            </w:r>
          </w:p>
        </w:tc>
      </w:tr>
      <w:bookmarkEnd w:id="0"/>
      <w:bookmarkEnd w:id="1"/>
      <w:bookmarkEnd w:id="2"/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五、居民主要慢性病及危险因素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15岁及以上居民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慢性病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因素专项调查对象共8191人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调查结果显示：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主要慢性病情况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高血压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高血压患病率为35.75%，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标化患病率为30.01%；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男性高血压患病率为38.08%，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2.72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女性高血压患病率为33.14%，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26.63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高血压知晓率为92.16%，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72.54%。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2.冠心病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冠心病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0.94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男性冠心病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0.91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女性冠心病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0.97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3.脑卒中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脑卒中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1.23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男性脑卒中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1.15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女性脑卒中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4.糖尿病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糖尿病患病率为10.27%，标化患病率为8.53%；男性糖尿病患病率为10.32%，标化患病率为8.80%；女性糖尿病患病率为10.21%，标化患病率为8.20%；糖尿病知晓率为84.34%，糖尿病控制率为56.86%。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5.高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脂血症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高脂血症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总人群</w:t>
      </w:r>
      <w:r>
        <w:rPr>
          <w:rFonts w:hint="eastAsia" w:ascii="仿宋_GB2312" w:hAnsi="仿宋_GB2312" w:eastAsia="仿宋_GB2312" w:cs="仿宋_GB2312"/>
          <w:sz w:val="32"/>
          <w:szCs w:val="32"/>
        </w:rPr>
        <w:t>粗患病率为5.46%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标化患病率为4.71%；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</w:t>
      </w:r>
      <w:r>
        <w:rPr>
          <w:rFonts w:hint="eastAsia" w:ascii="仿宋_GB2312" w:hAnsi="仿宋_GB2312" w:eastAsia="仿宋_GB2312" w:cs="仿宋_GB2312"/>
          <w:sz w:val="32"/>
          <w:szCs w:val="32"/>
        </w:rPr>
        <w:t>高脂血症粗患病率为5.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</w:t>
      </w:r>
      <w:r>
        <w:rPr>
          <w:rFonts w:hint="eastAsia" w:ascii="仿宋_GB2312" w:hAnsi="仿宋_GB2312" w:eastAsia="仿宋_GB2312" w:cs="仿宋_GB2312"/>
          <w:sz w:val="32"/>
          <w:szCs w:val="32"/>
        </w:rPr>
        <w:t>高脂血症粗患病率为5.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1%；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高脂血症控制率</w:t>
      </w:r>
      <w:r>
        <w:rPr>
          <w:rFonts w:hint="eastAsia" w:ascii="仿宋_GB2312" w:hAnsi="仿宋_GB2312" w:eastAsia="仿宋_GB2312" w:cs="仿宋_GB2312"/>
          <w:sz w:val="32"/>
          <w:szCs w:val="32"/>
        </w:rPr>
        <w:t>66.22%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6.骨质疏松症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骨质疏松症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3.18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男性骨质疏松症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1.97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1.46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女性骨质疏松症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6.57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5.08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女性显著高于男性。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7.慢性阻塞性肺疾病（慢阻肺）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慢阻肺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0.59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男性慢阻肺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0.74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女性慢阻肺</w:t>
      </w:r>
      <w:r>
        <w:rPr>
          <w:rFonts w:hint="eastAsia" w:ascii="仿宋_GB2312" w:hAnsi="仿宋_GB2312" w:eastAsia="仿宋_GB2312" w:cs="仿宋_GB2312"/>
          <w:sz w:val="32"/>
          <w:szCs w:val="32"/>
        </w:rPr>
        <w:t>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标化患病率为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8.超重与肥胖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相城区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慢性病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因素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专项调查结果显示：相城区15岁以上常住居民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超重率为37.38% ，肥胖率为14.20% ；其中，男性超重率和肥胖率分别为41.09%和16.57%，女性超重率和肥胖率分别为33.24%和11.55%，男性的超重率和肥胖率显著高于女性。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（二）主要危险因素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1.吸烟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居民现在</w:t>
      </w:r>
      <w:r>
        <w:rPr>
          <w:rFonts w:hint="eastAsia" w:ascii="仿宋_GB2312" w:hAnsi="仿宋_GB2312" w:eastAsia="仿宋_GB2312" w:cs="仿宋_GB2312"/>
          <w:sz w:val="32"/>
          <w:szCs w:val="32"/>
        </w:rPr>
        <w:t>吸烟率为29.5%，标化吸烟率为28.6%。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吸烟率为55.0%，标化吸烟率为52.3%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戒烟率为10.8%，标化戒烟率为8.9%。女性吸烟率为1.1%，标化吸烟率为1.2%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戒烟率为0.2%，标化戒烟率为0.2%。在各个年龄阶段女性吸烟率均低于男性。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2.饮酒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居民现在饮酒率为34.5%，标化饮酒率为36.1%。男性饮酒率为54.8%，标化饮酒率为55.4%；女性饮酒率为11.7%，标化饮酒率为13.8%。女性显著低于男性，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3.膳食情况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（1）家庭人均每日食盐、烹调油摄入情况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相城区居民平均每人每天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盐摄入量为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5.8g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其中，男性平均每人每天盐摄入量约6.2g，女性平均每人每天盐摄入量约5.5g，略高于《中国居民膳食指南（2022））》推荐量。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相城区居民平均每人每天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烹调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用量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约26.5g。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其中，男性平均每人每天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烹调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用量约26.3g，女性平均每人每天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烹调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用量约26.9g，符合《中国居民膳食指南（2022））》推荐量。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（2）蔬菜和水果摄入情况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8191个调查对象中，蔬菜食用率为99.8%，标化率为99.9%。通常一个月食用蔬菜0-3次占比1.8%；通常一周食用蔬菜1-6次占比22.3%；通常每天食用1次及以上占比75.7%。水果食用率为96.9%，标化率为97.5%。通常一个月食用水果0-3次占比12.0%；通常一周食用水果1-6次占比56.3%；通常每天食用1次及以上占比28.6%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（3）奶制品摄入情况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在8191名调查对象中，奶制品食用率为77.9%，标化率为80.8%。通常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个月食用奶制品0-3次占比17.6%；通常一周食用奶制品1-6次占比41.3%；通常每天食用1次及以上占比19.0%。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（4）豆制品摄入情况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在8191名调查对象中，豆制品食用率为93.9%，标化率为93.9%。通常一个月食用豆制品0-3次占比26.0%；通常一周食用豆制品1-6次占比64.6%；通常每天食用豆制品1次及以上占比3.3%。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身体活动因素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相城区居民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过去六个月参加体育锻炼或运动的频率每周1-2天占比为26.12%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每周3-5天占比为35.43%；每周6天及以上占比为38.45%。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相城区居民通常一天内的累计睡眠时长为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6.98小时/天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7.03小时/天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6.92小时/天</w:t>
      </w:r>
      <w:r>
        <w:rPr>
          <w:rFonts w:hint="eastAsia" w:ascii="仿宋_GB2312" w:hAnsi="仿宋_GB2312" w:eastAsia="仿宋_GB2312" w:cs="仿宋_GB2312"/>
          <w:sz w:val="32"/>
          <w:szCs w:val="32"/>
        </w:rPr>
        <w:t>。通常一天内的累计静态行为的时长为（不包括睡眠时长）为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4.11小时/天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4.26小时/天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3.94小时/天</w:t>
      </w:r>
      <w:r>
        <w:rPr>
          <w:rFonts w:hint="eastAsia" w:ascii="仿宋_GB2312" w:hAnsi="仿宋_GB2312" w:eastAsia="仿宋_GB2312" w:cs="仿宋_GB2312"/>
          <w:sz w:val="32"/>
          <w:szCs w:val="32"/>
        </w:rPr>
        <w:t>。47.72 %的居民认为自己在过去六个月的睡眠质量好，44.34%认为自己睡眠质量一般，还有7.94%认为自己睡眠质量差。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六、整体结论及防控策略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（一）结论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近年来，相城区按照国家、省、市关于慢性病防控相关策以及工作要求，积极部署综合防控各项措施，建立健全慢病监测、管理体系和工作制度，开展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重大慢性病</w:t>
      </w:r>
      <w:r>
        <w:rPr>
          <w:rFonts w:hint="eastAsia" w:ascii="仿宋_GB2312" w:hAnsi="仿宋_GB2312" w:eastAsia="仿宋_GB2312" w:cs="仿宋_GB2312"/>
          <w:sz w:val="32"/>
          <w:szCs w:val="32"/>
        </w:rPr>
        <w:t>筛查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和干预工作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全民健康生活方式行动，初步建立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“政府主导、多部门合作、专业机构支持、全社会参与”的慢性病综合防控工作模式。全区居民健康素养水平逐年提升，健康意识不断增强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同时也应清醒认识到，心脑血管疾病、恶性肿瘤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仍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居民主要死因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疾病</w:t>
      </w:r>
      <w:r>
        <w:rPr>
          <w:rFonts w:hint="eastAsia" w:ascii="仿宋_GB2312" w:hAnsi="仿宋_GB2312" w:eastAsia="仿宋_GB2312" w:cs="仿宋_GB2312"/>
          <w:sz w:val="32"/>
          <w:szCs w:val="32"/>
        </w:rPr>
        <w:t>，高血压、糖尿病、血脂异常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骨质疏松症</w:t>
      </w:r>
      <w:r>
        <w:rPr>
          <w:rFonts w:hint="eastAsia" w:ascii="仿宋_GB2312" w:hAnsi="仿宋_GB2312" w:eastAsia="仿宋_GB2312" w:cs="仿宋_GB2312"/>
          <w:sz w:val="32"/>
          <w:szCs w:val="32"/>
        </w:rPr>
        <w:t>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目前影响辖区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健康的</w:t>
      </w:r>
      <w:r>
        <w:rPr>
          <w:rFonts w:hint="eastAsia" w:ascii="仿宋_GB2312" w:hAnsi="仿宋_GB2312" w:eastAsia="仿宋_GB2312" w:cs="仿宋_GB2312"/>
          <w:sz w:val="32"/>
          <w:szCs w:val="32"/>
        </w:rPr>
        <w:t>常见慢性病，吸烟、饮酒、油盐摄入过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、运动时间不足等不良生活方式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</w:rPr>
        <w:t>是影响居民健康的重要危险因素。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"/>
        </w:rPr>
        <w:t>（二）防控策略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慢性病病因复杂，潜伏期长，病程长，往往伴有严重并发症，死亡率高，经济负担重，并且在近年来呈现年轻化趋势，严重危害人群健康，是重大的公共卫生问题。在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今后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工作中，应当注意顺应人口老龄化趋势，针对老年人口的特点，制定相应的管理方案和健康教育宣传手段；加强低年龄组人群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有慢性病家族史的人群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定期组织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重点慢性非传染性疾病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筛查工作；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提高全人群健康素养，普及全民健康生活方式的重要性。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完善慢性病防控的政策环境，引导全社会广泛参与到慢性病防控工作中。均衡布局区域医疗卫生资源，建设紧密型医联体。促进与优质医疗资源深度融合统筹共建，带动提升区域医疗机构诊疗水平。提升基层卫生健康治理体系和治理能力，不断强化区域医疗卫生资源统筹和布局优化。发展壮大医疗卫生人才队伍，改革完善医疗卫生体系运行保障机制，创新医防融合机制，全面提升群众医疗服务和卫生健康获得感、满足感、幸福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发挥创建国家级慢性病综合防控示范区效应，巩固“政府主导、部门协作、动员社会、全民参与”的机制，以全民健康生活方式综合干预为重点，以控制高血压、糖尿病、循环系统疾病、恶性肿瘤等慢性病为突破口，以合理膳食、适量运动、戒烟限酒、心理平衡为基石，提高全民参与意识，倡导每个人都是自己健康的第一责任人，持续提升全区居民健康水平。</w:t>
      </w:r>
    </w:p>
    <w:sectPr>
      <w:footerReference r:id="rId3" w:type="default"/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8CEB8F-0048-4131-8AD4-DF319D690B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07917BC-F231-4747-8EC0-FE7299C0C31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49205AB-DC3A-44B9-A414-417F35D196B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88C6A8D-EAB4-4165-A443-104F5BF1F5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DD205"/>
    <w:multiLevelType w:val="singleLevel"/>
    <w:tmpl w:val="19EDD205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Mjk3OWEyY2Q3ZmJlZWYzZDc2YWI1ZDFmMTdmZTEifQ=="/>
  </w:docVars>
  <w:rsids>
    <w:rsidRoot w:val="689C3964"/>
    <w:rsid w:val="006C22C1"/>
    <w:rsid w:val="00726300"/>
    <w:rsid w:val="007F27CB"/>
    <w:rsid w:val="01415CD2"/>
    <w:rsid w:val="02023253"/>
    <w:rsid w:val="02295572"/>
    <w:rsid w:val="045A77D7"/>
    <w:rsid w:val="04A03396"/>
    <w:rsid w:val="060B5A0F"/>
    <w:rsid w:val="072530ED"/>
    <w:rsid w:val="07634BF4"/>
    <w:rsid w:val="0A2543E3"/>
    <w:rsid w:val="0A990380"/>
    <w:rsid w:val="0AA2475D"/>
    <w:rsid w:val="0B91772D"/>
    <w:rsid w:val="0BE65DF4"/>
    <w:rsid w:val="0BEB7E64"/>
    <w:rsid w:val="0C0730C0"/>
    <w:rsid w:val="0C28640C"/>
    <w:rsid w:val="0CBA3508"/>
    <w:rsid w:val="0D5154EF"/>
    <w:rsid w:val="0EEF4FBF"/>
    <w:rsid w:val="0F59493E"/>
    <w:rsid w:val="0F892734"/>
    <w:rsid w:val="0FA1450C"/>
    <w:rsid w:val="0FFC192E"/>
    <w:rsid w:val="1179791C"/>
    <w:rsid w:val="11A77DD3"/>
    <w:rsid w:val="11D8260C"/>
    <w:rsid w:val="12A002F3"/>
    <w:rsid w:val="156A5CF7"/>
    <w:rsid w:val="15C6163C"/>
    <w:rsid w:val="15EA64E1"/>
    <w:rsid w:val="167F1A9D"/>
    <w:rsid w:val="16A11295"/>
    <w:rsid w:val="17E56F60"/>
    <w:rsid w:val="18294DA3"/>
    <w:rsid w:val="1A524F0F"/>
    <w:rsid w:val="1ADA3A2E"/>
    <w:rsid w:val="1CD35F20"/>
    <w:rsid w:val="1D1D719C"/>
    <w:rsid w:val="1D61177E"/>
    <w:rsid w:val="1DBB0E8E"/>
    <w:rsid w:val="1E0D5462"/>
    <w:rsid w:val="1E965458"/>
    <w:rsid w:val="228B7D11"/>
    <w:rsid w:val="2460453E"/>
    <w:rsid w:val="248201E2"/>
    <w:rsid w:val="24AF4B7D"/>
    <w:rsid w:val="252743A8"/>
    <w:rsid w:val="255D0A7D"/>
    <w:rsid w:val="264404B1"/>
    <w:rsid w:val="270637D4"/>
    <w:rsid w:val="2AF92FF6"/>
    <w:rsid w:val="2B1D29CD"/>
    <w:rsid w:val="2BBF5FEE"/>
    <w:rsid w:val="2C12522E"/>
    <w:rsid w:val="2D391DD0"/>
    <w:rsid w:val="2D636E4D"/>
    <w:rsid w:val="2D6775E7"/>
    <w:rsid w:val="2EF70A5E"/>
    <w:rsid w:val="2F204FF5"/>
    <w:rsid w:val="30986E0D"/>
    <w:rsid w:val="313B3F3B"/>
    <w:rsid w:val="342F7A89"/>
    <w:rsid w:val="348A3053"/>
    <w:rsid w:val="349D3DCB"/>
    <w:rsid w:val="37114C9C"/>
    <w:rsid w:val="371F3B18"/>
    <w:rsid w:val="37BF1123"/>
    <w:rsid w:val="3A0C64D6"/>
    <w:rsid w:val="3A3E4582"/>
    <w:rsid w:val="3AE25855"/>
    <w:rsid w:val="3CDF0B2A"/>
    <w:rsid w:val="3DA52B6A"/>
    <w:rsid w:val="3E6B3DB3"/>
    <w:rsid w:val="3EDB6DAD"/>
    <w:rsid w:val="3F1D6DC9"/>
    <w:rsid w:val="3F544847"/>
    <w:rsid w:val="40226F0D"/>
    <w:rsid w:val="410F6C78"/>
    <w:rsid w:val="418F7DB9"/>
    <w:rsid w:val="427737EE"/>
    <w:rsid w:val="42EF6D61"/>
    <w:rsid w:val="43686B13"/>
    <w:rsid w:val="43701D91"/>
    <w:rsid w:val="44BF6C07"/>
    <w:rsid w:val="459E4F33"/>
    <w:rsid w:val="46162856"/>
    <w:rsid w:val="4669775D"/>
    <w:rsid w:val="47D07FF7"/>
    <w:rsid w:val="48BC7DD3"/>
    <w:rsid w:val="490C73F1"/>
    <w:rsid w:val="4A4060F4"/>
    <w:rsid w:val="4AE86A54"/>
    <w:rsid w:val="4B337A07"/>
    <w:rsid w:val="4B4A7B64"/>
    <w:rsid w:val="4C211F55"/>
    <w:rsid w:val="4DA873D3"/>
    <w:rsid w:val="4DFF4545"/>
    <w:rsid w:val="4EC5306C"/>
    <w:rsid w:val="4ECC61A8"/>
    <w:rsid w:val="501740F2"/>
    <w:rsid w:val="515079B8"/>
    <w:rsid w:val="51BE183E"/>
    <w:rsid w:val="52F2445B"/>
    <w:rsid w:val="54E33CDB"/>
    <w:rsid w:val="54ED44E0"/>
    <w:rsid w:val="55823A64"/>
    <w:rsid w:val="5592042C"/>
    <w:rsid w:val="58BF6D7E"/>
    <w:rsid w:val="593E0A31"/>
    <w:rsid w:val="5A541B34"/>
    <w:rsid w:val="5A767910"/>
    <w:rsid w:val="5C7335D3"/>
    <w:rsid w:val="5D170F36"/>
    <w:rsid w:val="5E057BE4"/>
    <w:rsid w:val="5E5C6981"/>
    <w:rsid w:val="5EA02776"/>
    <w:rsid w:val="62841201"/>
    <w:rsid w:val="62BF00A6"/>
    <w:rsid w:val="63C62DD9"/>
    <w:rsid w:val="6410048D"/>
    <w:rsid w:val="65905D2A"/>
    <w:rsid w:val="65B57054"/>
    <w:rsid w:val="66204186"/>
    <w:rsid w:val="66455D2D"/>
    <w:rsid w:val="66A448E2"/>
    <w:rsid w:val="66CB4B3F"/>
    <w:rsid w:val="67236729"/>
    <w:rsid w:val="689C3964"/>
    <w:rsid w:val="69130426"/>
    <w:rsid w:val="69B82081"/>
    <w:rsid w:val="69E367A2"/>
    <w:rsid w:val="6AAD603E"/>
    <w:rsid w:val="6B7C7E8A"/>
    <w:rsid w:val="6BB81B36"/>
    <w:rsid w:val="6C21592D"/>
    <w:rsid w:val="6C2C6080"/>
    <w:rsid w:val="6CE95092"/>
    <w:rsid w:val="6E11552E"/>
    <w:rsid w:val="6E7361E8"/>
    <w:rsid w:val="6F563B40"/>
    <w:rsid w:val="6FC7631B"/>
    <w:rsid w:val="6FC85B74"/>
    <w:rsid w:val="6FC96806"/>
    <w:rsid w:val="70447E3C"/>
    <w:rsid w:val="7052124D"/>
    <w:rsid w:val="707149AA"/>
    <w:rsid w:val="71A36EE5"/>
    <w:rsid w:val="71AF5789"/>
    <w:rsid w:val="71DE1BCB"/>
    <w:rsid w:val="72127AC6"/>
    <w:rsid w:val="72B15531"/>
    <w:rsid w:val="72B72541"/>
    <w:rsid w:val="72E868E1"/>
    <w:rsid w:val="733777E5"/>
    <w:rsid w:val="73EF00BF"/>
    <w:rsid w:val="749E03F2"/>
    <w:rsid w:val="75287D2D"/>
    <w:rsid w:val="757711EC"/>
    <w:rsid w:val="76522B87"/>
    <w:rsid w:val="766373F7"/>
    <w:rsid w:val="78550B21"/>
    <w:rsid w:val="787A25D6"/>
    <w:rsid w:val="78DC6026"/>
    <w:rsid w:val="78F9553C"/>
    <w:rsid w:val="79D73ACF"/>
    <w:rsid w:val="79E166FC"/>
    <w:rsid w:val="7C2D3E7B"/>
    <w:rsid w:val="7D05105F"/>
    <w:rsid w:val="7DE92023"/>
    <w:rsid w:val="7E2117BD"/>
    <w:rsid w:val="7EA70B48"/>
    <w:rsid w:val="7EBB576E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480" w:after="120" w:line="360" w:lineRule="auto"/>
      <w:jc w:val="left"/>
      <w:outlineLvl w:val="1"/>
    </w:pPr>
    <w:rPr>
      <w:rFonts w:ascii="Times New Roman" w:hAnsi="Times New Roman" w:cs="Times New Roman"/>
      <w:b/>
      <w:kern w:val="0"/>
      <w:sz w:val="30"/>
      <w:szCs w:val="28"/>
    </w:rPr>
  </w:style>
  <w:style w:type="paragraph" w:styleId="4">
    <w:name w:val="heading 3"/>
    <w:basedOn w:val="1"/>
    <w:next w:val="1"/>
    <w:autoRedefine/>
    <w:qFormat/>
    <w:uiPriority w:val="0"/>
    <w:pPr>
      <w:spacing w:before="100" w:beforeAutospacing="1" w:after="100" w:afterAutospacing="1" w:line="360" w:lineRule="auto"/>
      <w:jc w:val="left"/>
      <w:outlineLvl w:val="2"/>
    </w:pPr>
    <w:rPr>
      <w:rFonts w:ascii="Times New Roman" w:hAnsi="Times New Roman" w:cs="Times New Roman"/>
      <w:b/>
      <w:kern w:val="0"/>
      <w:sz w:val="24"/>
      <w:szCs w:val="27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autoRedefine/>
    <w:qFormat/>
    <w:uiPriority w:val="0"/>
    <w:pPr>
      <w:ind w:firstLine="425"/>
    </w:pPr>
    <w:rPr>
      <w:rFonts w:ascii="Times New Roman" w:hAnsi="Times New Roman"/>
      <w:szCs w:val="2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font21"/>
    <w:basedOn w:val="11"/>
    <w:autoRedefine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2024-01-16T01:36:00Z</dcterms:created>
  <dc:creator>毛赟</dc:creator>
  <cp:lastModifiedBy>attenzzz</cp:lastModifiedBy>
  <cp:lastPrinted>2024-01-29T02:08:18Z</cp:lastPrinted>
  <dcterms:modified xsi:type="dcterms:W3CDTF">2024-01-29T02:08:24Z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C3E8F3F5C3824FD69667BF460C1B8E79_13</vt:lpwstr>
  </property>
</Properties>
</file>