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769FF2">
      <w:pPr>
        <w:keepNext w:val="0"/>
        <w:keepLines w:val="0"/>
        <w:pageBreakBefore w:val="0"/>
        <w:widowControl/>
        <w:kinsoku w:val="0"/>
        <w:wordWrap/>
        <w:overflowPunct/>
        <w:topLinePunct w:val="0"/>
        <w:autoSpaceDE w:val="0"/>
        <w:autoSpaceDN w:val="0"/>
        <w:bidi w:val="0"/>
        <w:adjustRightInd w:val="0"/>
        <w:snapToGrid w:val="0"/>
        <w:spacing w:after="0" w:line="576" w:lineRule="exact"/>
        <w:ind w:left="0" w:leftChars="0" w:right="0" w:firstLine="0" w:firstLineChars="0"/>
        <w:jc w:val="left"/>
        <w:textAlignment w:val="baseline"/>
        <w:rPr>
          <w:rFonts w:hint="eastAsia" w:ascii="黑体" w:hAnsi="黑体" w:eastAsia="黑体" w:cs="黑体"/>
          <w:color w:val="auto"/>
          <w:spacing w:val="5"/>
          <w:kern w:val="2"/>
          <w:sz w:val="32"/>
          <w:szCs w:val="32"/>
          <w:lang w:val="en-US" w:eastAsia="zh-CN" w:bidi="ar-SA"/>
        </w:rPr>
      </w:pPr>
      <w:r>
        <w:rPr>
          <w:rFonts w:hint="eastAsia" w:ascii="黑体" w:hAnsi="黑体" w:eastAsia="黑体" w:cs="黑体"/>
          <w:color w:val="auto"/>
          <w:spacing w:val="5"/>
          <w:kern w:val="2"/>
          <w:sz w:val="32"/>
          <w:szCs w:val="32"/>
          <w:lang w:val="en-US" w:eastAsia="zh-CN" w:bidi="ar-SA"/>
        </w:rPr>
        <w:t>附件</w:t>
      </w:r>
    </w:p>
    <w:p w14:paraId="0160D0DA">
      <w:pPr>
        <w:keepNext w:val="0"/>
        <w:keepLines w:val="0"/>
        <w:pageBreakBefore w:val="0"/>
        <w:widowControl/>
        <w:kinsoku w:val="0"/>
        <w:wordWrap/>
        <w:overflowPunct/>
        <w:topLinePunct w:val="0"/>
        <w:autoSpaceDE w:val="0"/>
        <w:autoSpaceDN w:val="0"/>
        <w:bidi w:val="0"/>
        <w:adjustRightInd w:val="0"/>
        <w:snapToGrid w:val="0"/>
        <w:spacing w:after="0" w:line="576" w:lineRule="exact"/>
        <w:ind w:left="0" w:leftChars="0" w:right="0" w:firstLine="0" w:firstLineChars="0"/>
        <w:jc w:val="center"/>
        <w:textAlignment w:val="baseline"/>
        <w:rPr>
          <w:rFonts w:hint="default" w:ascii="Times New Roman" w:hAnsi="Times New Roman" w:eastAsia="方正小标宋简体" w:cs="Times New Roman"/>
          <w:color w:val="auto"/>
          <w:spacing w:val="5"/>
          <w:kern w:val="2"/>
          <w:sz w:val="44"/>
          <w:szCs w:val="44"/>
          <w:lang w:val="en-US" w:eastAsia="zh-CN" w:bidi="ar-SA"/>
        </w:rPr>
      </w:pPr>
    </w:p>
    <w:p w14:paraId="703B683E">
      <w:pPr>
        <w:keepNext w:val="0"/>
        <w:keepLines w:val="0"/>
        <w:pageBreakBefore w:val="0"/>
        <w:widowControl/>
        <w:kinsoku w:val="0"/>
        <w:wordWrap/>
        <w:overflowPunct/>
        <w:topLinePunct w:val="0"/>
        <w:autoSpaceDE w:val="0"/>
        <w:autoSpaceDN w:val="0"/>
        <w:bidi w:val="0"/>
        <w:adjustRightInd w:val="0"/>
        <w:snapToGrid w:val="0"/>
        <w:spacing w:after="0" w:line="576" w:lineRule="exact"/>
        <w:ind w:left="0" w:leftChars="0" w:right="0" w:firstLine="0" w:firstLineChars="0"/>
        <w:jc w:val="center"/>
        <w:textAlignment w:val="baseline"/>
        <w:rPr>
          <w:rFonts w:hint="default" w:ascii="Times New Roman" w:hAnsi="Times New Roman" w:eastAsia="方正小标宋简体" w:cs="Times New Roman"/>
          <w:color w:val="auto"/>
          <w:spacing w:val="5"/>
          <w:kern w:val="2"/>
          <w:sz w:val="44"/>
          <w:szCs w:val="44"/>
          <w:lang w:val="en-US" w:eastAsia="zh-CN" w:bidi="ar-SA"/>
        </w:rPr>
      </w:pPr>
      <w:r>
        <w:rPr>
          <w:rFonts w:hint="default" w:ascii="Times New Roman" w:hAnsi="Times New Roman" w:eastAsia="方正小标宋简体" w:cs="Times New Roman"/>
          <w:color w:val="auto"/>
          <w:spacing w:val="5"/>
          <w:kern w:val="2"/>
          <w:sz w:val="44"/>
          <w:szCs w:val="44"/>
          <w:lang w:val="en-US" w:eastAsia="zh-CN" w:bidi="ar-SA"/>
        </w:rPr>
        <w:t>娄北片区城中村改造地块项目</w:t>
      </w:r>
    </w:p>
    <w:p w14:paraId="1E7E8B76">
      <w:pPr>
        <w:keepNext w:val="0"/>
        <w:keepLines w:val="0"/>
        <w:pageBreakBefore w:val="0"/>
        <w:widowControl/>
        <w:kinsoku w:val="0"/>
        <w:wordWrap/>
        <w:overflowPunct/>
        <w:topLinePunct w:val="0"/>
        <w:autoSpaceDE w:val="0"/>
        <w:autoSpaceDN w:val="0"/>
        <w:bidi w:val="0"/>
        <w:adjustRightInd w:val="0"/>
        <w:snapToGrid w:val="0"/>
        <w:spacing w:after="0" w:line="576" w:lineRule="exact"/>
        <w:ind w:left="0" w:leftChars="0" w:right="0" w:firstLine="0" w:firstLineChars="0"/>
        <w:jc w:val="center"/>
        <w:textAlignment w:val="baseline"/>
        <w:rPr>
          <w:rFonts w:hint="default" w:ascii="Times New Roman" w:hAnsi="Times New Roman" w:eastAsia="方正小标宋简体" w:cs="Times New Roman"/>
          <w:color w:val="auto"/>
          <w:spacing w:val="5"/>
          <w:kern w:val="2"/>
          <w:sz w:val="44"/>
          <w:szCs w:val="44"/>
          <w:lang w:val="en-US" w:eastAsia="zh-CN" w:bidi="ar-SA"/>
        </w:rPr>
      </w:pPr>
      <w:r>
        <w:rPr>
          <w:rFonts w:hint="default" w:ascii="Times New Roman" w:hAnsi="Times New Roman" w:eastAsia="方正小标宋简体" w:cs="Times New Roman"/>
          <w:color w:val="auto"/>
          <w:spacing w:val="5"/>
          <w:kern w:val="2"/>
          <w:sz w:val="44"/>
          <w:szCs w:val="44"/>
          <w:lang w:val="en-US" w:eastAsia="zh-CN" w:bidi="ar-SA"/>
        </w:rPr>
        <w:t>房屋征收补偿方案</w:t>
      </w:r>
    </w:p>
    <w:p w14:paraId="54044EED">
      <w:pPr>
        <w:keepNext w:val="0"/>
        <w:keepLines w:val="0"/>
        <w:pageBreakBefore w:val="0"/>
        <w:widowControl/>
        <w:kinsoku w:val="0"/>
        <w:wordWrap/>
        <w:overflowPunct/>
        <w:topLinePunct w:val="0"/>
        <w:autoSpaceDE w:val="0"/>
        <w:autoSpaceDN w:val="0"/>
        <w:bidi w:val="0"/>
        <w:adjustRightInd w:val="0"/>
        <w:snapToGrid w:val="0"/>
        <w:spacing w:after="0" w:line="576" w:lineRule="exact"/>
        <w:ind w:left="0" w:leftChars="0" w:right="0" w:firstLine="0" w:firstLineChars="0"/>
        <w:jc w:val="center"/>
        <w:textAlignment w:val="baseline"/>
        <w:rPr>
          <w:rFonts w:hint="default" w:ascii="Times New Roman" w:hAnsi="Times New Roman" w:eastAsia="仿宋_GB2312" w:cs="Times New Roman"/>
          <w:color w:val="auto"/>
          <w:spacing w:val="7"/>
          <w:kern w:val="2"/>
          <w:sz w:val="32"/>
          <w:szCs w:val="32"/>
          <w:lang w:val="en-US" w:eastAsia="zh-CN" w:bidi="ar-SA"/>
        </w:rPr>
      </w:pPr>
      <w:r>
        <w:rPr>
          <w:rFonts w:hint="default" w:ascii="Times New Roman" w:hAnsi="Times New Roman" w:eastAsia="仿宋_GB2312" w:cs="Times New Roman"/>
          <w:color w:val="auto"/>
          <w:spacing w:val="7"/>
          <w:kern w:val="2"/>
          <w:sz w:val="32"/>
          <w:szCs w:val="32"/>
          <w:lang w:val="en-US" w:eastAsia="zh-CN" w:bidi="ar-SA"/>
        </w:rPr>
        <w:t>（</w:t>
      </w:r>
      <w:r>
        <w:rPr>
          <w:rFonts w:hint="eastAsia" w:ascii="Times New Roman" w:hAnsi="Times New Roman" w:eastAsia="仿宋_GB2312" w:cs="Times New Roman"/>
          <w:color w:val="auto"/>
          <w:spacing w:val="7"/>
          <w:kern w:val="2"/>
          <w:sz w:val="32"/>
          <w:szCs w:val="32"/>
          <w:lang w:val="en-US" w:eastAsia="zh-CN" w:bidi="ar-SA"/>
        </w:rPr>
        <w:t>征求意见</w:t>
      </w:r>
      <w:r>
        <w:rPr>
          <w:rFonts w:hint="default" w:ascii="Times New Roman" w:hAnsi="Times New Roman" w:eastAsia="仿宋_GB2312" w:cs="Times New Roman"/>
          <w:color w:val="auto"/>
          <w:spacing w:val="7"/>
          <w:kern w:val="2"/>
          <w:sz w:val="32"/>
          <w:szCs w:val="32"/>
          <w:lang w:val="en-US" w:eastAsia="zh-CN" w:bidi="ar-SA"/>
        </w:rPr>
        <w:t>稿）</w:t>
      </w:r>
    </w:p>
    <w:p w14:paraId="67C25F5C">
      <w:pPr>
        <w:keepNext w:val="0"/>
        <w:keepLines w:val="0"/>
        <w:pageBreakBefore w:val="0"/>
        <w:widowControl/>
        <w:kinsoku w:val="0"/>
        <w:wordWrap/>
        <w:overflowPunct/>
        <w:topLinePunct w:val="0"/>
        <w:autoSpaceDE w:val="0"/>
        <w:autoSpaceDN w:val="0"/>
        <w:bidi w:val="0"/>
        <w:adjustRightInd w:val="0"/>
        <w:snapToGrid w:val="0"/>
        <w:spacing w:after="0" w:line="576" w:lineRule="exact"/>
        <w:ind w:left="0" w:leftChars="0" w:right="0" w:firstLine="668" w:firstLineChars="200"/>
        <w:jc w:val="both"/>
        <w:textAlignment w:val="baseline"/>
        <w:rPr>
          <w:rFonts w:hint="default" w:ascii="Times New Roman" w:hAnsi="Times New Roman" w:eastAsia="仿宋_GB2312" w:cs="Times New Roman"/>
          <w:color w:val="auto"/>
          <w:spacing w:val="7"/>
          <w:kern w:val="2"/>
          <w:sz w:val="32"/>
          <w:szCs w:val="32"/>
          <w:lang w:val="en-US" w:eastAsia="zh-CN" w:bidi="ar-SA"/>
        </w:rPr>
      </w:pPr>
    </w:p>
    <w:p w14:paraId="6A17FB80">
      <w:pPr>
        <w:keepNext w:val="0"/>
        <w:keepLines w:val="0"/>
        <w:pageBreakBefore w:val="0"/>
        <w:widowControl/>
        <w:kinsoku w:val="0"/>
        <w:wordWrap/>
        <w:overflowPunct/>
        <w:topLinePunct w:val="0"/>
        <w:autoSpaceDE w:val="0"/>
        <w:autoSpaceDN w:val="0"/>
        <w:bidi w:val="0"/>
        <w:adjustRightInd w:val="0"/>
        <w:snapToGrid w:val="0"/>
        <w:spacing w:after="0" w:line="576" w:lineRule="exact"/>
        <w:ind w:left="0" w:leftChars="0" w:right="0" w:firstLine="668" w:firstLineChars="200"/>
        <w:jc w:val="both"/>
        <w:textAlignment w:val="baseline"/>
        <w:rPr>
          <w:rFonts w:hint="default" w:ascii="Times New Roman" w:hAnsi="Times New Roman" w:eastAsia="仿宋_GB2312" w:cs="Times New Roman"/>
          <w:color w:val="auto"/>
          <w:spacing w:val="7"/>
          <w:kern w:val="2"/>
          <w:sz w:val="32"/>
          <w:szCs w:val="32"/>
          <w:lang w:val="en-US" w:eastAsia="zh-CN" w:bidi="ar-SA"/>
        </w:rPr>
      </w:pPr>
      <w:r>
        <w:rPr>
          <w:rFonts w:hint="default" w:ascii="Times New Roman" w:hAnsi="Times New Roman" w:eastAsia="仿宋_GB2312" w:cs="Times New Roman"/>
          <w:color w:val="auto"/>
          <w:spacing w:val="7"/>
          <w:kern w:val="2"/>
          <w:sz w:val="32"/>
          <w:szCs w:val="32"/>
          <w:lang w:val="en-US" w:eastAsia="zh-CN" w:bidi="ar-SA"/>
        </w:rPr>
        <w:t>根据《国有土地上房屋征收与补偿条例</w:t>
      </w:r>
      <w:r>
        <w:rPr>
          <w:rFonts w:hint="eastAsia" w:ascii="Times New Roman" w:hAnsi="Times New Roman" w:eastAsia="仿宋_GB2312" w:cs="Times New Roman"/>
          <w:color w:val="auto"/>
          <w:spacing w:val="7"/>
          <w:kern w:val="2"/>
          <w:sz w:val="32"/>
          <w:szCs w:val="32"/>
          <w:lang w:val="en-US" w:eastAsia="zh-CN" w:bidi="ar-SA"/>
        </w:rPr>
        <w:t>》《</w:t>
      </w:r>
      <w:r>
        <w:rPr>
          <w:rFonts w:hint="default" w:ascii="Times New Roman" w:hAnsi="Times New Roman" w:eastAsia="仿宋_GB2312" w:cs="Times New Roman"/>
          <w:color w:val="auto"/>
          <w:spacing w:val="7"/>
          <w:kern w:val="2"/>
          <w:sz w:val="32"/>
          <w:szCs w:val="32"/>
          <w:lang w:val="en-US" w:eastAsia="zh-CN" w:bidi="ar-SA"/>
        </w:rPr>
        <w:t>苏州市国有土地上房屋征收与补偿办法</w:t>
      </w:r>
      <w:r>
        <w:rPr>
          <w:rFonts w:hint="eastAsia" w:ascii="Times New Roman" w:hAnsi="Times New Roman" w:eastAsia="仿宋_GB2312" w:cs="Times New Roman"/>
          <w:color w:val="auto"/>
          <w:spacing w:val="7"/>
          <w:kern w:val="2"/>
          <w:sz w:val="32"/>
          <w:szCs w:val="32"/>
          <w:lang w:val="en-US" w:eastAsia="zh-CN" w:bidi="ar-SA"/>
        </w:rPr>
        <w:t>》《</w:t>
      </w:r>
      <w:r>
        <w:rPr>
          <w:rFonts w:hint="default" w:ascii="Times New Roman" w:hAnsi="Times New Roman" w:eastAsia="仿宋_GB2312" w:cs="Times New Roman"/>
          <w:color w:val="auto"/>
          <w:spacing w:val="7"/>
          <w:kern w:val="2"/>
          <w:sz w:val="32"/>
          <w:szCs w:val="32"/>
          <w:lang w:val="en-US" w:eastAsia="zh-CN" w:bidi="ar-SA"/>
        </w:rPr>
        <w:t>相城区国有土地上房屋征收与补偿实施办法》等规定，</w:t>
      </w:r>
      <w:bookmarkStart w:id="0" w:name="_GoBack"/>
      <w:bookmarkEnd w:id="0"/>
      <w:r>
        <w:rPr>
          <w:rFonts w:hint="default" w:ascii="Times New Roman" w:hAnsi="Times New Roman" w:eastAsia="仿宋_GB2312" w:cs="Times New Roman"/>
          <w:color w:val="auto"/>
          <w:spacing w:val="7"/>
          <w:kern w:val="2"/>
          <w:sz w:val="32"/>
          <w:szCs w:val="32"/>
          <w:lang w:val="en-US" w:eastAsia="zh-CN" w:bidi="ar-SA"/>
        </w:rPr>
        <w:t>结合调查登记和采样评估等情况制定本项目房屋征收补偿方案。</w:t>
      </w:r>
    </w:p>
    <w:p w14:paraId="1D6A8D7D">
      <w:pPr>
        <w:keepNext w:val="0"/>
        <w:keepLines w:val="0"/>
        <w:pageBreakBefore w:val="0"/>
        <w:widowControl/>
        <w:kinsoku w:val="0"/>
        <w:wordWrap/>
        <w:overflowPunct/>
        <w:topLinePunct w:val="0"/>
        <w:autoSpaceDE w:val="0"/>
        <w:autoSpaceDN w:val="0"/>
        <w:bidi w:val="0"/>
        <w:adjustRightInd w:val="0"/>
        <w:snapToGrid w:val="0"/>
        <w:spacing w:line="576" w:lineRule="exact"/>
        <w:ind w:left="0" w:right="0" w:firstLine="668" w:firstLineChars="200"/>
        <w:jc w:val="both"/>
        <w:textAlignment w:val="baseline"/>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pacing w:val="7"/>
          <w:sz w:val="32"/>
          <w:szCs w:val="32"/>
        </w:rPr>
        <w:t>一、房屋征收范围</w:t>
      </w:r>
    </w:p>
    <w:p w14:paraId="07A5F66A">
      <w:pPr>
        <w:keepNext w:val="0"/>
        <w:keepLines w:val="0"/>
        <w:pageBreakBefore w:val="0"/>
        <w:widowControl/>
        <w:kinsoku/>
        <w:wordWrap/>
        <w:overflowPunct/>
        <w:topLinePunct w:val="0"/>
        <w:autoSpaceDE w:val="0"/>
        <w:autoSpaceDN w:val="0"/>
        <w:bidi w:val="0"/>
        <w:adjustRightInd w:val="0"/>
        <w:snapToGrid w:val="0"/>
        <w:spacing w:line="576" w:lineRule="exact"/>
        <w:ind w:right="0" w:firstLine="668" w:firstLineChars="200"/>
        <w:jc w:val="both"/>
        <w:textAlignment w:val="baseline"/>
        <w:rPr>
          <w:rFonts w:hint="default" w:ascii="Times New Roman" w:hAnsi="Times New Roman" w:eastAsia="仿宋_GB2312" w:cs="Times New Roman"/>
          <w:color w:val="auto"/>
          <w:spacing w:val="7"/>
          <w:kern w:val="2"/>
          <w:sz w:val="32"/>
          <w:szCs w:val="32"/>
          <w:lang w:val="en-US" w:eastAsia="zh-CN" w:bidi="ar-SA"/>
        </w:rPr>
      </w:pPr>
      <w:r>
        <w:rPr>
          <w:rFonts w:hint="default" w:ascii="Times New Roman" w:hAnsi="Times New Roman" w:eastAsia="仿宋_GB2312" w:cs="Times New Roman"/>
          <w:color w:val="auto"/>
          <w:spacing w:val="7"/>
          <w:kern w:val="2"/>
          <w:sz w:val="32"/>
          <w:szCs w:val="32"/>
          <w:lang w:val="en-US" w:eastAsia="zh-CN" w:bidi="ar-SA"/>
        </w:rPr>
        <w:t>化肥新村1幢404室、化肥新村2幢403室、化肥新村2幢406室、化肥新村4幢206室、化肥新村4幢401室、化肥新村4幢505室、化肥新村4幢506室、化肥新村4幢508室、化肥新村5幢304室、化肥新村5幢402室、化肥新村6幢101室（上述门牌如有出入，以征收红线确定范围为准）。</w:t>
      </w:r>
    </w:p>
    <w:p w14:paraId="708B53F1">
      <w:pPr>
        <w:keepNext w:val="0"/>
        <w:keepLines w:val="0"/>
        <w:pageBreakBefore w:val="0"/>
        <w:widowControl/>
        <w:kinsoku/>
        <w:wordWrap w:val="0"/>
        <w:overflowPunct/>
        <w:topLinePunct w:val="0"/>
        <w:autoSpaceDE w:val="0"/>
        <w:autoSpaceDN w:val="0"/>
        <w:bidi w:val="0"/>
        <w:adjustRightInd w:val="0"/>
        <w:snapToGrid w:val="0"/>
        <w:spacing w:line="576" w:lineRule="exact"/>
        <w:ind w:left="0" w:right="0" w:firstLine="668" w:firstLineChars="200"/>
        <w:jc w:val="both"/>
        <w:textAlignment w:val="baseline"/>
        <w:rPr>
          <w:rFonts w:hint="default" w:ascii="Times New Roman" w:hAnsi="Times New Roman" w:eastAsia="仿宋_GB2312" w:cs="Times New Roman"/>
          <w:color w:val="auto"/>
          <w:spacing w:val="7"/>
          <w:kern w:val="2"/>
          <w:sz w:val="32"/>
          <w:szCs w:val="32"/>
          <w:lang w:val="en-US" w:eastAsia="zh-CN" w:bidi="ar-SA"/>
        </w:rPr>
      </w:pPr>
      <w:r>
        <w:rPr>
          <w:rFonts w:hint="default" w:ascii="Times New Roman" w:hAnsi="Times New Roman" w:eastAsia="仿宋_GB2312" w:cs="Times New Roman"/>
          <w:color w:val="auto"/>
          <w:spacing w:val="7"/>
          <w:kern w:val="2"/>
          <w:sz w:val="32"/>
          <w:szCs w:val="32"/>
          <w:lang w:val="en-US" w:eastAsia="zh-CN" w:bidi="ar-SA"/>
        </w:rPr>
        <w:t>该项目共计征收住宅约11户，建筑面积约634平方米（含未经登记建筑面积）。</w:t>
      </w:r>
    </w:p>
    <w:p w14:paraId="3E0FBEEB">
      <w:pPr>
        <w:keepNext w:val="0"/>
        <w:keepLines w:val="0"/>
        <w:pageBreakBefore w:val="0"/>
        <w:widowControl/>
        <w:kinsoku w:val="0"/>
        <w:wordWrap/>
        <w:overflowPunct/>
        <w:topLinePunct w:val="0"/>
        <w:autoSpaceDE w:val="0"/>
        <w:autoSpaceDN w:val="0"/>
        <w:bidi w:val="0"/>
        <w:adjustRightInd w:val="0"/>
        <w:snapToGrid w:val="0"/>
        <w:spacing w:line="576" w:lineRule="exact"/>
        <w:ind w:left="0" w:right="0" w:firstLine="668" w:firstLineChars="200"/>
        <w:jc w:val="both"/>
        <w:textAlignment w:val="baseline"/>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pacing w:val="7"/>
          <w:sz w:val="32"/>
          <w:szCs w:val="32"/>
        </w:rPr>
        <w:t>二、征收实施时间</w:t>
      </w:r>
    </w:p>
    <w:p w14:paraId="6209034D">
      <w:pPr>
        <w:keepNext w:val="0"/>
        <w:keepLines w:val="0"/>
        <w:pageBreakBefore w:val="0"/>
        <w:widowControl/>
        <w:kinsoku w:val="0"/>
        <w:wordWrap/>
        <w:overflowPunct/>
        <w:topLinePunct w:val="0"/>
        <w:autoSpaceDE w:val="0"/>
        <w:autoSpaceDN w:val="0"/>
        <w:bidi w:val="0"/>
        <w:adjustRightInd w:val="0"/>
        <w:snapToGrid w:val="0"/>
        <w:spacing w:after="0" w:line="576" w:lineRule="exact"/>
        <w:ind w:left="0" w:right="0" w:firstLine="652" w:firstLineChars="200"/>
        <w:jc w:val="both"/>
        <w:textAlignment w:val="baseline"/>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pacing w:val="3"/>
          <w:kern w:val="2"/>
          <w:sz w:val="32"/>
          <w:szCs w:val="32"/>
          <w:lang w:val="en-US" w:eastAsia="zh-CN" w:bidi="ar-SA"/>
        </w:rPr>
        <w:t>自房屋征收决定公告之日起。</w:t>
      </w:r>
    </w:p>
    <w:p w14:paraId="47A9763E">
      <w:pPr>
        <w:keepNext w:val="0"/>
        <w:keepLines w:val="0"/>
        <w:pageBreakBefore w:val="0"/>
        <w:widowControl/>
        <w:kinsoku w:val="0"/>
        <w:wordWrap/>
        <w:overflowPunct/>
        <w:topLinePunct w:val="0"/>
        <w:autoSpaceDE w:val="0"/>
        <w:autoSpaceDN w:val="0"/>
        <w:bidi w:val="0"/>
        <w:adjustRightInd w:val="0"/>
        <w:snapToGrid w:val="0"/>
        <w:spacing w:line="576" w:lineRule="exact"/>
        <w:ind w:left="0" w:right="0" w:firstLine="668"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spacing w:val="7"/>
          <w:sz w:val="32"/>
          <w:szCs w:val="32"/>
        </w:rPr>
        <w:t>三、征收补偿政策</w:t>
      </w:r>
    </w:p>
    <w:p w14:paraId="1B6AEE70">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（一）补偿方式</w:t>
      </w:r>
    </w:p>
    <w:p w14:paraId="03A474B4">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rPr>
        <w:t>住宅房屋被</w:t>
      </w:r>
      <w:r>
        <w:rPr>
          <w:rFonts w:hint="default" w:ascii="Times New Roman" w:hAnsi="Times New Roman" w:eastAsia="仿宋_GB2312" w:cs="Times New Roman"/>
          <w:color w:val="auto"/>
          <w:sz w:val="32"/>
          <w:szCs w:val="32"/>
          <w:lang w:eastAsia="zh-CN"/>
        </w:rPr>
        <w:t>征收</w:t>
      </w:r>
      <w:r>
        <w:rPr>
          <w:rFonts w:hint="default" w:ascii="Times New Roman" w:hAnsi="Times New Roman" w:eastAsia="仿宋_GB2312" w:cs="Times New Roman"/>
          <w:color w:val="auto"/>
          <w:sz w:val="32"/>
          <w:szCs w:val="32"/>
        </w:rPr>
        <w:t>人</w:t>
      </w:r>
      <w:r>
        <w:rPr>
          <w:rFonts w:hint="default" w:ascii="Times New Roman" w:hAnsi="Times New Roman" w:eastAsia="仿宋_GB2312" w:cs="Times New Roman"/>
          <w:color w:val="auto"/>
          <w:sz w:val="32"/>
          <w:szCs w:val="32"/>
          <w:lang w:eastAsia="zh-CN"/>
        </w:rPr>
        <w:t>可以选择</w:t>
      </w:r>
      <w:r>
        <w:rPr>
          <w:rFonts w:hint="default" w:ascii="Times New Roman" w:hAnsi="Times New Roman" w:eastAsia="仿宋_GB2312" w:cs="Times New Roman"/>
          <w:color w:val="auto"/>
          <w:sz w:val="32"/>
          <w:szCs w:val="32"/>
        </w:rPr>
        <w:t>货币补偿</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也可以选择产权调换。</w:t>
      </w:r>
    </w:p>
    <w:p w14:paraId="787C72A4">
      <w:pPr>
        <w:keepNext w:val="0"/>
        <w:keepLines w:val="0"/>
        <w:pageBreakBefore w:val="0"/>
        <w:wordWrap/>
        <w:overflowPunct/>
        <w:topLinePunct w:val="0"/>
        <w:bidi w:val="0"/>
        <w:adjustRightInd w:val="0"/>
        <w:snapToGrid w:val="0"/>
        <w:spacing w:line="576" w:lineRule="exact"/>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选择货币补偿方式的，被</w:t>
      </w:r>
      <w:r>
        <w:rPr>
          <w:rFonts w:hint="default" w:ascii="Times New Roman" w:hAnsi="Times New Roman" w:eastAsia="仿宋_GB2312" w:cs="Times New Roman"/>
          <w:color w:val="auto"/>
          <w:sz w:val="32"/>
          <w:szCs w:val="32"/>
          <w:lang w:eastAsia="zh-CN"/>
        </w:rPr>
        <w:t>征收</w:t>
      </w:r>
      <w:r>
        <w:rPr>
          <w:rFonts w:hint="default" w:ascii="Times New Roman" w:hAnsi="Times New Roman" w:eastAsia="仿宋_GB2312" w:cs="Times New Roman"/>
          <w:color w:val="auto"/>
          <w:sz w:val="32"/>
          <w:szCs w:val="32"/>
        </w:rPr>
        <w:t>房屋的价值评估时点为房屋</w:t>
      </w:r>
      <w:r>
        <w:rPr>
          <w:rFonts w:hint="default" w:ascii="Times New Roman" w:hAnsi="Times New Roman" w:eastAsia="仿宋_GB2312" w:cs="Times New Roman"/>
          <w:color w:val="auto"/>
          <w:sz w:val="32"/>
          <w:szCs w:val="32"/>
          <w:lang w:eastAsia="zh-CN"/>
        </w:rPr>
        <w:t>征收决定公告</w:t>
      </w:r>
      <w:r>
        <w:rPr>
          <w:rFonts w:hint="default" w:ascii="Times New Roman" w:hAnsi="Times New Roman" w:eastAsia="仿宋_GB2312" w:cs="Times New Roman"/>
          <w:color w:val="auto"/>
          <w:sz w:val="32"/>
          <w:szCs w:val="32"/>
        </w:rPr>
        <w:t>之日。</w:t>
      </w:r>
    </w:p>
    <w:p w14:paraId="3315F459">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pacing w:val="5"/>
          <w:sz w:val="32"/>
          <w:szCs w:val="32"/>
        </w:rPr>
        <w:t>选择产权调换方式的，用于产权调换房屋的价值</w:t>
      </w:r>
      <w:r>
        <w:rPr>
          <w:rFonts w:hint="default" w:ascii="Times New Roman" w:hAnsi="Times New Roman" w:eastAsia="仿宋_GB2312" w:cs="Times New Roman"/>
          <w:color w:val="auto"/>
          <w:spacing w:val="4"/>
          <w:sz w:val="32"/>
          <w:szCs w:val="32"/>
        </w:rPr>
        <w:t>和被征收房</w:t>
      </w:r>
      <w:r>
        <w:rPr>
          <w:rFonts w:hint="default" w:ascii="Times New Roman" w:hAnsi="Times New Roman" w:eastAsia="仿宋_GB2312" w:cs="Times New Roman"/>
          <w:color w:val="auto"/>
          <w:spacing w:val="5"/>
          <w:sz w:val="32"/>
          <w:szCs w:val="32"/>
        </w:rPr>
        <w:t>屋价值在同一评估时点分别计算价格后，结清差价。涉及房屋附</w:t>
      </w:r>
      <w:r>
        <w:rPr>
          <w:rFonts w:hint="default" w:ascii="Times New Roman" w:hAnsi="Times New Roman" w:eastAsia="仿宋_GB2312" w:cs="Times New Roman"/>
          <w:color w:val="auto"/>
          <w:spacing w:val="8"/>
          <w:sz w:val="32"/>
          <w:szCs w:val="32"/>
        </w:rPr>
        <w:t>属物的，不做产权调换。</w:t>
      </w:r>
    </w:p>
    <w:p w14:paraId="55D385A6">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rPr>
        <w:t>（二）</w:t>
      </w:r>
      <w:r>
        <w:rPr>
          <w:rFonts w:hint="default" w:ascii="Times New Roman" w:hAnsi="Times New Roman" w:eastAsia="楷体_GB2312" w:cs="Times New Roman"/>
          <w:color w:val="auto"/>
          <w:sz w:val="32"/>
          <w:szCs w:val="32"/>
          <w:lang w:val="en-US" w:eastAsia="zh-CN"/>
        </w:rPr>
        <w:t>评估</w:t>
      </w:r>
    </w:p>
    <w:p w14:paraId="75F82302">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lang w:val="en-US" w:eastAsia="zh-CN"/>
        </w:rPr>
        <w:t>1.</w:t>
      </w:r>
      <w:r>
        <w:rPr>
          <w:rFonts w:hint="default" w:ascii="Times New Roman" w:hAnsi="Times New Roman" w:eastAsia="楷体_GB2312" w:cs="Times New Roman"/>
          <w:color w:val="auto"/>
          <w:sz w:val="32"/>
          <w:szCs w:val="32"/>
        </w:rPr>
        <w:t>评估机构的选择方法</w:t>
      </w:r>
    </w:p>
    <w:p w14:paraId="4AAB824B">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rPr>
      </w:pPr>
      <w:r>
        <w:rPr>
          <w:rFonts w:hint="default" w:ascii="Times New Roman" w:hAnsi="Times New Roman" w:eastAsia="仿宋_GB2312" w:cs="Times New Roman"/>
          <w:color w:val="auto"/>
          <w:spacing w:val="5"/>
          <w:sz w:val="32"/>
          <w:szCs w:val="32"/>
        </w:rPr>
        <w:t>房地产价格评估机构由被征收人协商选定。</w:t>
      </w:r>
      <w:r>
        <w:rPr>
          <w:rFonts w:hint="default" w:ascii="Times New Roman" w:hAnsi="Times New Roman" w:eastAsia="仿宋_GB2312" w:cs="Times New Roman"/>
          <w:color w:val="auto"/>
          <w:spacing w:val="5"/>
          <w:sz w:val="32"/>
          <w:szCs w:val="32"/>
          <w:lang w:eastAsia="zh-CN"/>
        </w:rPr>
        <w:t>相城区住房和城乡建设局</w:t>
      </w:r>
      <w:r>
        <w:rPr>
          <w:rFonts w:hint="default" w:ascii="Times New Roman" w:hAnsi="Times New Roman" w:eastAsia="仿宋_GB2312" w:cs="Times New Roman"/>
          <w:color w:val="auto"/>
          <w:spacing w:val="5"/>
          <w:sz w:val="32"/>
          <w:szCs w:val="32"/>
        </w:rPr>
        <w:t>将征收项目的名称、范围、户数、建筑面积、联系方式等相关情况，在相城区政府网站进行公告，自公告之日起3个工作日内，接受具有相应资质的房地产价格评估机构报名。根据报名情况将符合条件的房地产价格评估机构名称在征收范围内公布，公布后5</w:t>
      </w:r>
      <w:r>
        <w:rPr>
          <w:rFonts w:hint="default" w:ascii="Times New Roman" w:hAnsi="Times New Roman" w:eastAsia="仿宋_GB2312" w:cs="Times New Roman"/>
          <w:color w:val="auto"/>
          <w:spacing w:val="5"/>
          <w:sz w:val="32"/>
          <w:szCs w:val="32"/>
          <w:lang w:val="en-US" w:eastAsia="zh-CN"/>
        </w:rPr>
        <w:t>个工作</w:t>
      </w:r>
      <w:r>
        <w:rPr>
          <w:rFonts w:hint="default" w:ascii="Times New Roman" w:hAnsi="Times New Roman" w:eastAsia="仿宋_GB2312" w:cs="Times New Roman"/>
          <w:color w:val="auto"/>
          <w:spacing w:val="5"/>
          <w:sz w:val="32"/>
          <w:szCs w:val="32"/>
        </w:rPr>
        <w:t>日内在征收现场登记被征收人的选择意见，被征收人协商一致共同选择一家房地产价格评估机构的，视为协商选择成功；协商选择不成功的，若超过50%的被征收人选择同一家房地产价格评估机构的，视为多数决定；不足50%的，由</w:t>
      </w:r>
      <w:r>
        <w:rPr>
          <w:rFonts w:hint="default" w:ascii="Times New Roman" w:hAnsi="Times New Roman" w:eastAsia="仿宋_GB2312" w:cs="Times New Roman"/>
          <w:color w:val="auto"/>
          <w:spacing w:val="5"/>
          <w:sz w:val="32"/>
          <w:szCs w:val="32"/>
          <w:lang w:eastAsia="zh-CN"/>
        </w:rPr>
        <w:t>相城区住房和城乡建设局</w:t>
      </w:r>
      <w:r>
        <w:rPr>
          <w:rFonts w:hint="default" w:ascii="Times New Roman" w:hAnsi="Times New Roman" w:eastAsia="仿宋_GB2312" w:cs="Times New Roman"/>
          <w:color w:val="auto"/>
          <w:spacing w:val="5"/>
          <w:sz w:val="32"/>
          <w:szCs w:val="32"/>
        </w:rPr>
        <w:t>组织被征收人，在公布的评估机构名录中，通过公开抽签方式，确定一家评估机构为本项目的房地产价格评估机构，</w:t>
      </w:r>
      <w:r>
        <w:rPr>
          <w:rFonts w:hint="default" w:ascii="Times New Roman" w:hAnsi="Times New Roman" w:eastAsia="仿宋_GB2312" w:cs="Times New Roman"/>
          <w:color w:val="auto"/>
          <w:spacing w:val="5"/>
          <w:sz w:val="32"/>
          <w:szCs w:val="32"/>
          <w:lang w:eastAsia="zh-CN"/>
        </w:rPr>
        <w:t>相城区住房和城乡建设局</w:t>
      </w:r>
      <w:r>
        <w:rPr>
          <w:rFonts w:hint="default" w:ascii="Times New Roman" w:hAnsi="Times New Roman" w:eastAsia="仿宋_GB2312" w:cs="Times New Roman"/>
          <w:color w:val="auto"/>
          <w:spacing w:val="5"/>
          <w:sz w:val="32"/>
          <w:szCs w:val="32"/>
        </w:rPr>
        <w:t>在抽签前5日内在征收范围内通告抽签时间和地点。多数决定、抽签方式确定房地产评估机构的过程和结果，应当经过公证机构依法公证，并在征收范围内公示。</w:t>
      </w:r>
    </w:p>
    <w:p w14:paraId="2C19BE19">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rPr>
      </w:pPr>
      <w:r>
        <w:rPr>
          <w:rFonts w:hint="default" w:ascii="Times New Roman" w:hAnsi="Times New Roman" w:eastAsia="仿宋_GB2312" w:cs="Times New Roman"/>
          <w:color w:val="auto"/>
          <w:spacing w:val="5"/>
          <w:sz w:val="32"/>
          <w:szCs w:val="32"/>
        </w:rPr>
        <w:t>房地产评估机构确定后，由</w:t>
      </w:r>
      <w:r>
        <w:rPr>
          <w:rFonts w:hint="default" w:ascii="Times New Roman" w:hAnsi="Times New Roman" w:eastAsia="仿宋_GB2312" w:cs="Times New Roman"/>
          <w:color w:val="auto"/>
          <w:spacing w:val="5"/>
          <w:sz w:val="32"/>
          <w:szCs w:val="32"/>
          <w:lang w:eastAsia="zh-CN"/>
        </w:rPr>
        <w:t>相城区住房和城乡建设局</w:t>
      </w:r>
      <w:r>
        <w:rPr>
          <w:rFonts w:hint="default" w:ascii="Times New Roman" w:hAnsi="Times New Roman" w:eastAsia="仿宋_GB2312" w:cs="Times New Roman"/>
          <w:color w:val="auto"/>
          <w:spacing w:val="5"/>
          <w:sz w:val="32"/>
          <w:szCs w:val="32"/>
        </w:rPr>
        <w:t>与其签订委托评估合同后进行评估作业。</w:t>
      </w:r>
    </w:p>
    <w:p w14:paraId="3A29CB06">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2.被征收人对评估报告有异议的处理方法</w:t>
      </w:r>
    </w:p>
    <w:p w14:paraId="280CF317">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lang w:val="en-US" w:eastAsia="zh-CN"/>
        </w:rPr>
      </w:pPr>
      <w:r>
        <w:rPr>
          <w:rFonts w:hint="default" w:ascii="Times New Roman" w:hAnsi="Times New Roman" w:eastAsia="仿宋_GB2312" w:cs="Times New Roman"/>
          <w:color w:val="auto"/>
          <w:spacing w:val="5"/>
          <w:sz w:val="32"/>
          <w:szCs w:val="32"/>
          <w:lang w:val="en-US" w:eastAsia="zh-CN"/>
        </w:rPr>
        <w:t>被征收人对评估报告有疑问的，房地产价格评估机构应当作出解释说明。被征收人对评估结果有异议的，应当自收到评估报告之日起10日内，向房地产价格评估机构申请复核评估。申请复核评估的，应当向原房地产价格评估机构提出书面复核评估申请，并指出评估报告中存在的问题。</w:t>
      </w:r>
    </w:p>
    <w:p w14:paraId="4A41C71C">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lang w:val="en-US" w:eastAsia="zh-CN"/>
        </w:rPr>
      </w:pPr>
      <w:r>
        <w:rPr>
          <w:rFonts w:hint="default" w:ascii="Times New Roman" w:hAnsi="Times New Roman" w:eastAsia="仿宋_GB2312" w:cs="Times New Roman"/>
          <w:color w:val="auto"/>
          <w:spacing w:val="5"/>
          <w:sz w:val="32"/>
          <w:szCs w:val="32"/>
          <w:lang w:val="en-US" w:eastAsia="zh-CN"/>
        </w:rPr>
        <w:t>房地产价格评估机构自收到复核评估申请之日起10日内给予答复。评估结果发生变化的，应当出具复核报告；评估结果没有发生变化的，应当书面告知复核申请人。</w:t>
      </w:r>
    </w:p>
    <w:p w14:paraId="72214183">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lang w:val="en-US" w:eastAsia="zh-CN"/>
        </w:rPr>
      </w:pPr>
      <w:r>
        <w:rPr>
          <w:rFonts w:hint="default" w:ascii="Times New Roman" w:hAnsi="Times New Roman" w:eastAsia="仿宋_GB2312" w:cs="Times New Roman"/>
          <w:color w:val="auto"/>
          <w:spacing w:val="5"/>
          <w:sz w:val="32"/>
          <w:szCs w:val="32"/>
          <w:lang w:val="en-US" w:eastAsia="zh-CN"/>
        </w:rPr>
        <w:t>被征收人对房地产价格评估机构的复核结果有异议的，应当自收到复核结果之日起10日内，向苏州市房地产评估专家委员会申请鉴定。</w:t>
      </w:r>
    </w:p>
    <w:p w14:paraId="2C19DF49">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lang w:val="en-US" w:eastAsia="zh-CN"/>
        </w:rPr>
      </w:pPr>
      <w:r>
        <w:rPr>
          <w:rFonts w:hint="default" w:ascii="Times New Roman" w:hAnsi="Times New Roman" w:eastAsia="仿宋_GB2312" w:cs="Times New Roman"/>
          <w:color w:val="auto"/>
          <w:spacing w:val="5"/>
          <w:sz w:val="32"/>
          <w:szCs w:val="32"/>
          <w:lang w:val="en-US" w:eastAsia="zh-CN"/>
        </w:rPr>
        <w:t>受理房屋征收评估鉴定后，房地产评估专家委员会自收到鉴定申请之日起10日内，指派3人以上单数成员组成鉴定组，处理房屋征收评估鉴定事宜，并出具书面鉴定意见。</w:t>
      </w:r>
    </w:p>
    <w:p w14:paraId="4ABA4D0D">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lang w:val="en-US" w:eastAsia="zh-CN"/>
        </w:rPr>
      </w:pPr>
      <w:r>
        <w:rPr>
          <w:rFonts w:hint="default" w:ascii="Times New Roman" w:hAnsi="Times New Roman" w:eastAsia="仿宋_GB2312" w:cs="Times New Roman"/>
          <w:color w:val="auto"/>
          <w:spacing w:val="5"/>
          <w:sz w:val="32"/>
          <w:szCs w:val="32"/>
          <w:lang w:val="en-US" w:eastAsia="zh-CN"/>
        </w:rPr>
        <w:t>被征收房屋价值评估时点为房屋征收决定公告之日。</w:t>
      </w:r>
    </w:p>
    <w:p w14:paraId="1F717DF3">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（三）达不成补偿协议的处理办法</w:t>
      </w:r>
    </w:p>
    <w:p w14:paraId="18D4533C">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lang w:val="en-US" w:eastAsia="zh-CN"/>
        </w:rPr>
      </w:pPr>
      <w:r>
        <w:rPr>
          <w:rFonts w:hint="default" w:ascii="Times New Roman" w:hAnsi="Times New Roman" w:eastAsia="仿宋_GB2312" w:cs="Times New Roman"/>
          <w:color w:val="auto"/>
          <w:spacing w:val="5"/>
          <w:sz w:val="32"/>
          <w:szCs w:val="32"/>
          <w:lang w:val="en-US" w:eastAsia="zh-CN"/>
        </w:rPr>
        <w:t>相城区住房和城乡建设局与被征收人在征收补偿方案确定的签约期限内达不成补偿协议的，由相城区住房和城乡建设局报请相城区人民政府作出补偿决定，并在房屋征收范围内予以公告。</w:t>
      </w:r>
    </w:p>
    <w:p w14:paraId="12C67049">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lang w:val="en-US" w:eastAsia="zh-CN"/>
        </w:rPr>
      </w:pPr>
      <w:r>
        <w:rPr>
          <w:rFonts w:hint="default" w:ascii="Times New Roman" w:hAnsi="Times New Roman" w:eastAsia="仿宋_GB2312" w:cs="Times New Roman"/>
          <w:color w:val="auto"/>
          <w:spacing w:val="5"/>
          <w:sz w:val="32"/>
          <w:szCs w:val="32"/>
          <w:lang w:val="en-US" w:eastAsia="zh-CN"/>
        </w:rPr>
        <w:t>被征收人对补偿决定不服的，可以依法申请行政复议，也可以依法提起行政诉讼。</w:t>
      </w:r>
    </w:p>
    <w:p w14:paraId="10496636">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（四）不履行相城区人民政府作出的征收补偿决定的处理方法</w:t>
      </w:r>
    </w:p>
    <w:p w14:paraId="44A89D7A">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lang w:val="en-US" w:eastAsia="zh-CN"/>
        </w:rPr>
      </w:pPr>
      <w:r>
        <w:rPr>
          <w:rFonts w:hint="default" w:ascii="Times New Roman" w:hAnsi="Times New Roman" w:eastAsia="仿宋_GB2312" w:cs="Times New Roman"/>
          <w:color w:val="auto"/>
          <w:spacing w:val="5"/>
          <w:sz w:val="32"/>
          <w:szCs w:val="32"/>
          <w:lang w:val="en-US" w:eastAsia="zh-CN"/>
        </w:rPr>
        <w:t>被征收人在法定期限内不申请行政复议或者不提起行政诉讼，在补偿决定确定的期限内又不搬迁的，由相城区人民政府依法申请人民法院强制执行。</w:t>
      </w:r>
    </w:p>
    <w:p w14:paraId="20A000B0">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Chars="0" w:firstLine="640" w:firstLineChars="200"/>
        <w:jc w:val="left"/>
        <w:textAlignment w:val="auto"/>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（五）计户规则</w:t>
      </w:r>
    </w:p>
    <w:p w14:paraId="4D65122B">
      <w:pPr>
        <w:keepNext w:val="0"/>
        <w:keepLines w:val="0"/>
        <w:pageBreakBefore w:val="0"/>
        <w:wordWrap/>
        <w:overflowPunct/>
        <w:topLinePunct w:val="0"/>
        <w:bidi w:val="0"/>
        <w:adjustRightInd w:val="0"/>
        <w:snapToGrid w:val="0"/>
        <w:spacing w:line="576" w:lineRule="exact"/>
        <w:ind w:firstLine="660" w:firstLineChars="200"/>
        <w:jc w:val="left"/>
        <w:rPr>
          <w:rFonts w:hint="default" w:ascii="Times New Roman" w:hAnsi="Times New Roman" w:eastAsia="仿宋_GB2312" w:cs="Times New Roman"/>
          <w:color w:val="auto"/>
          <w:spacing w:val="5"/>
          <w:sz w:val="32"/>
          <w:szCs w:val="32"/>
          <w:lang w:val="en-US" w:eastAsia="zh-CN"/>
        </w:rPr>
      </w:pPr>
      <w:r>
        <w:rPr>
          <w:rFonts w:hint="default" w:ascii="Times New Roman" w:hAnsi="Times New Roman" w:eastAsia="仿宋_GB2312" w:cs="Times New Roman"/>
          <w:color w:val="auto"/>
          <w:spacing w:val="5"/>
          <w:sz w:val="32"/>
          <w:szCs w:val="32"/>
          <w:lang w:val="en-US" w:eastAsia="zh-CN"/>
        </w:rPr>
        <w:t>参照苏州市住房和城乡建设局苏住建规〔2011〕4号文件规定执行。</w:t>
      </w:r>
    </w:p>
    <w:p w14:paraId="487465AB">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（六）住宅、非住宅的认定标准和面积认定标准</w:t>
      </w:r>
    </w:p>
    <w:p w14:paraId="626F34AC">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参照苏州市住房和城乡建设局苏住建规〔2011〕4号文件规定执行。</w:t>
      </w:r>
    </w:p>
    <w:p w14:paraId="1A49E79A">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未办理相关审批手续、未取得房屋所有权证、未符合其他相应认定条件的建筑面积，参照苏住建规〔2012〕8号文件规定的各类房屋的残值补偿标准进行补偿。</w:t>
      </w:r>
    </w:p>
    <w:p w14:paraId="00685C24">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w:t>
      </w:r>
      <w:r>
        <w:rPr>
          <w:rFonts w:hint="default" w:ascii="Times New Roman" w:hAnsi="Times New Roman" w:eastAsia="楷体_GB2312" w:cs="Times New Roman"/>
          <w:color w:val="auto"/>
          <w:sz w:val="32"/>
          <w:szCs w:val="32"/>
          <w:lang w:val="en-US" w:eastAsia="zh-CN"/>
        </w:rPr>
        <w:t>七</w:t>
      </w:r>
      <w:r>
        <w:rPr>
          <w:rFonts w:hint="default" w:ascii="Times New Roman" w:hAnsi="Times New Roman" w:eastAsia="楷体_GB2312" w:cs="Times New Roman"/>
          <w:color w:val="auto"/>
          <w:sz w:val="32"/>
          <w:szCs w:val="32"/>
        </w:rPr>
        <w:t>）补偿金额</w:t>
      </w:r>
    </w:p>
    <w:p w14:paraId="29CB88B3">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1.被征收房屋补偿</w:t>
      </w:r>
    </w:p>
    <w:p w14:paraId="04B72B68">
      <w:pPr>
        <w:keepNext w:val="0"/>
        <w:keepLines w:val="0"/>
        <w:pageBreakBefore w:val="0"/>
        <w:wordWrap/>
        <w:overflowPunct/>
        <w:topLinePunct w:val="0"/>
        <w:bidi w:val="0"/>
        <w:adjustRightInd w:val="0"/>
        <w:snapToGrid w:val="0"/>
        <w:spacing w:line="576" w:lineRule="exact"/>
        <w:ind w:left="0" w:leftChars="0"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经评估机构</w:t>
      </w:r>
      <w:r>
        <w:rPr>
          <w:rFonts w:hint="default" w:ascii="Times New Roman" w:hAnsi="Times New Roman" w:eastAsia="仿宋_GB2312" w:cs="Times New Roman"/>
          <w:color w:val="auto"/>
          <w:sz w:val="32"/>
          <w:szCs w:val="32"/>
          <w:lang w:val="en-US" w:eastAsia="zh-CN"/>
        </w:rPr>
        <w:t>采样</w:t>
      </w:r>
      <w:r>
        <w:rPr>
          <w:rFonts w:hint="default" w:ascii="Times New Roman" w:hAnsi="Times New Roman" w:eastAsia="仿宋_GB2312" w:cs="Times New Roman"/>
          <w:color w:val="auto"/>
          <w:sz w:val="32"/>
          <w:szCs w:val="32"/>
        </w:rPr>
        <w:t>评估，被</w:t>
      </w:r>
      <w:r>
        <w:rPr>
          <w:rFonts w:hint="default" w:ascii="Times New Roman" w:hAnsi="Times New Roman" w:eastAsia="仿宋_GB2312" w:cs="Times New Roman"/>
          <w:color w:val="auto"/>
          <w:sz w:val="32"/>
          <w:szCs w:val="32"/>
          <w:lang w:eastAsia="zh-CN"/>
        </w:rPr>
        <w:t>征收</w:t>
      </w:r>
      <w:r>
        <w:rPr>
          <w:rFonts w:hint="default" w:ascii="Times New Roman" w:hAnsi="Times New Roman" w:eastAsia="仿宋_GB2312" w:cs="Times New Roman"/>
          <w:color w:val="auto"/>
          <w:sz w:val="32"/>
          <w:szCs w:val="32"/>
        </w:rPr>
        <w:t>房屋市场价格评估基准价：住宅房屋每平方米</w:t>
      </w:r>
      <w:r>
        <w:rPr>
          <w:rFonts w:hint="default" w:ascii="Times New Roman" w:hAnsi="Times New Roman" w:eastAsia="仿宋_GB2312" w:cs="Times New Roman"/>
          <w:color w:val="auto"/>
          <w:sz w:val="32"/>
          <w:szCs w:val="32"/>
          <w:u w:val="none"/>
        </w:rPr>
        <w:t>1</w:t>
      </w:r>
      <w:r>
        <w:rPr>
          <w:rFonts w:hint="default" w:ascii="Times New Roman" w:hAnsi="Times New Roman" w:eastAsia="仿宋_GB2312" w:cs="Times New Roman"/>
          <w:color w:val="auto"/>
          <w:sz w:val="32"/>
          <w:szCs w:val="32"/>
          <w:u w:val="none"/>
          <w:lang w:val="en-US" w:eastAsia="zh-CN"/>
        </w:rPr>
        <w:t>7843</w:t>
      </w:r>
      <w:r>
        <w:rPr>
          <w:rFonts w:hint="default" w:ascii="Times New Roman" w:hAnsi="Times New Roman" w:eastAsia="仿宋_GB2312" w:cs="Times New Roman"/>
          <w:color w:val="auto"/>
          <w:sz w:val="32"/>
          <w:szCs w:val="32"/>
        </w:rPr>
        <w:t>元；</w:t>
      </w:r>
    </w:p>
    <w:p w14:paraId="03606D3C">
      <w:pPr>
        <w:keepNext w:val="0"/>
        <w:keepLines w:val="0"/>
        <w:pageBreakBefore w:val="0"/>
        <w:numPr>
          <w:ilvl w:val="0"/>
          <w:numId w:val="1"/>
        </w:numPr>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被</w:t>
      </w:r>
      <w:r>
        <w:rPr>
          <w:rFonts w:hint="default" w:ascii="Times New Roman" w:hAnsi="Times New Roman" w:eastAsia="仿宋_GB2312" w:cs="Times New Roman"/>
          <w:color w:val="auto"/>
          <w:sz w:val="32"/>
          <w:szCs w:val="32"/>
          <w:lang w:eastAsia="zh-CN"/>
        </w:rPr>
        <w:t>征收</w:t>
      </w:r>
      <w:r>
        <w:rPr>
          <w:rFonts w:hint="default" w:ascii="Times New Roman" w:hAnsi="Times New Roman" w:eastAsia="仿宋_GB2312" w:cs="Times New Roman"/>
          <w:color w:val="auto"/>
          <w:sz w:val="32"/>
          <w:szCs w:val="32"/>
        </w:rPr>
        <w:t>房屋的价值，由具有相应资质的房地产价格评估机构根据被</w:t>
      </w:r>
      <w:r>
        <w:rPr>
          <w:rFonts w:hint="default" w:ascii="Times New Roman" w:hAnsi="Times New Roman" w:eastAsia="仿宋_GB2312" w:cs="Times New Roman"/>
          <w:color w:val="auto"/>
          <w:sz w:val="32"/>
          <w:szCs w:val="32"/>
          <w:lang w:eastAsia="zh-CN"/>
        </w:rPr>
        <w:t>征收</w:t>
      </w:r>
      <w:r>
        <w:rPr>
          <w:rFonts w:hint="default" w:ascii="Times New Roman" w:hAnsi="Times New Roman" w:eastAsia="仿宋_GB2312" w:cs="Times New Roman"/>
          <w:color w:val="auto"/>
          <w:sz w:val="32"/>
          <w:szCs w:val="32"/>
        </w:rPr>
        <w:t>房屋情况</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按照《国有土地上房屋征收评估办法》</w:t>
      </w:r>
      <w:r>
        <w:rPr>
          <w:rFonts w:hint="default" w:ascii="Times New Roman" w:hAnsi="Times New Roman" w:eastAsia="仿宋_GB2312" w:cs="Times New Roman"/>
          <w:color w:val="auto"/>
          <w:sz w:val="32"/>
          <w:szCs w:val="32"/>
          <w:lang w:val="en-US" w:eastAsia="zh-CN"/>
        </w:rPr>
        <w:t>等</w:t>
      </w:r>
      <w:r>
        <w:rPr>
          <w:rFonts w:hint="default" w:ascii="Times New Roman" w:hAnsi="Times New Roman" w:eastAsia="仿宋_GB2312" w:cs="Times New Roman"/>
          <w:color w:val="auto"/>
          <w:sz w:val="32"/>
          <w:szCs w:val="32"/>
        </w:rPr>
        <w:t>评估确定。</w:t>
      </w:r>
    </w:p>
    <w:p w14:paraId="0B280DD7">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2.搬迁补偿费</w:t>
      </w:r>
    </w:p>
    <w:p w14:paraId="21C2466C">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被</w:t>
      </w:r>
      <w:r>
        <w:rPr>
          <w:rFonts w:hint="default" w:ascii="Times New Roman" w:hAnsi="Times New Roman" w:eastAsia="仿宋_GB2312" w:cs="Times New Roman"/>
          <w:color w:val="auto"/>
          <w:sz w:val="32"/>
          <w:szCs w:val="32"/>
          <w:lang w:eastAsia="zh-CN"/>
        </w:rPr>
        <w:t>征收</w:t>
      </w:r>
      <w:r>
        <w:rPr>
          <w:rFonts w:hint="default" w:ascii="Times New Roman" w:hAnsi="Times New Roman" w:eastAsia="仿宋_GB2312" w:cs="Times New Roman"/>
          <w:color w:val="auto"/>
          <w:sz w:val="32"/>
          <w:szCs w:val="32"/>
        </w:rPr>
        <w:t>住宅房屋40平方米（含40平方米）以下的，每户按700元发放；40平方米以上的，每增加20平方米（不足20平方米按20平方米计算），增加200元搬迁补偿费，但最高不得超过1400元。</w:t>
      </w:r>
    </w:p>
    <w:p w14:paraId="4FAB6E3A">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对住宅房屋被</w:t>
      </w:r>
      <w:r>
        <w:rPr>
          <w:rFonts w:hint="default" w:ascii="Times New Roman" w:hAnsi="Times New Roman" w:eastAsia="仿宋_GB2312" w:cs="Times New Roman"/>
          <w:color w:val="auto"/>
          <w:sz w:val="32"/>
          <w:szCs w:val="32"/>
          <w:lang w:eastAsia="zh-CN"/>
        </w:rPr>
        <w:t>征收</w:t>
      </w:r>
      <w:r>
        <w:rPr>
          <w:rFonts w:hint="default" w:ascii="Times New Roman" w:hAnsi="Times New Roman" w:eastAsia="仿宋_GB2312" w:cs="Times New Roman"/>
          <w:color w:val="auto"/>
          <w:sz w:val="32"/>
          <w:szCs w:val="32"/>
        </w:rPr>
        <w:t>人一次性发放二次搬迁补偿费。</w:t>
      </w:r>
    </w:p>
    <w:p w14:paraId="46A9F475">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3.住宅房屋临时安置补偿费</w:t>
      </w:r>
    </w:p>
    <w:p w14:paraId="7E88A0D8">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住宅房屋临时安置补偿费，以被</w:t>
      </w:r>
      <w:r>
        <w:rPr>
          <w:rFonts w:hint="default" w:ascii="Times New Roman" w:hAnsi="Times New Roman" w:eastAsia="仿宋_GB2312" w:cs="Times New Roman"/>
          <w:color w:val="auto"/>
          <w:sz w:val="32"/>
          <w:szCs w:val="32"/>
          <w:lang w:eastAsia="zh-CN"/>
        </w:rPr>
        <w:t>征收</w:t>
      </w:r>
      <w:r>
        <w:rPr>
          <w:rFonts w:hint="default" w:ascii="Times New Roman" w:hAnsi="Times New Roman" w:eastAsia="仿宋_GB2312" w:cs="Times New Roman"/>
          <w:color w:val="auto"/>
          <w:sz w:val="32"/>
          <w:szCs w:val="32"/>
        </w:rPr>
        <w:t>住宅房屋</w:t>
      </w:r>
      <w:r>
        <w:rPr>
          <w:rFonts w:hint="default" w:ascii="Times New Roman" w:hAnsi="Times New Roman" w:eastAsia="仿宋_GB2312" w:cs="Times New Roman"/>
          <w:color w:val="auto"/>
          <w:sz w:val="32"/>
          <w:szCs w:val="32"/>
          <w:lang w:eastAsia="zh-CN"/>
        </w:rPr>
        <w:t>的</w:t>
      </w:r>
      <w:r>
        <w:rPr>
          <w:rFonts w:hint="default" w:ascii="Times New Roman" w:hAnsi="Times New Roman" w:eastAsia="仿宋_GB2312" w:cs="Times New Roman"/>
          <w:color w:val="auto"/>
          <w:sz w:val="32"/>
          <w:szCs w:val="32"/>
        </w:rPr>
        <w:t>合法建筑面积计算，按每平方米每月14元发放。发放中每户每月不足1000元的，按1000元发放。</w:t>
      </w:r>
    </w:p>
    <w:p w14:paraId="3F6C836F">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对选择货币补偿的，按被</w:t>
      </w:r>
      <w:r>
        <w:rPr>
          <w:rFonts w:hint="default" w:ascii="Times New Roman" w:hAnsi="Times New Roman" w:eastAsia="仿宋_GB2312" w:cs="Times New Roman"/>
          <w:color w:val="auto"/>
          <w:sz w:val="32"/>
          <w:szCs w:val="32"/>
          <w:lang w:eastAsia="zh-CN"/>
        </w:rPr>
        <w:t>征收</w:t>
      </w:r>
      <w:r>
        <w:rPr>
          <w:rFonts w:hint="default" w:ascii="Times New Roman" w:hAnsi="Times New Roman" w:eastAsia="仿宋_GB2312" w:cs="Times New Roman"/>
          <w:color w:val="auto"/>
          <w:sz w:val="32"/>
          <w:szCs w:val="32"/>
        </w:rPr>
        <w:t>房屋的合法建筑面积一次性支付六个月临时安置补偿费。</w:t>
      </w:r>
    </w:p>
    <w:p w14:paraId="3FADB972">
      <w:pPr>
        <w:keepNext w:val="0"/>
        <w:keepLines w:val="0"/>
        <w:pageBreakBefore w:val="0"/>
        <w:widowControl/>
        <w:kinsoku w:val="0"/>
        <w:wordWrap/>
        <w:overflowPunct/>
        <w:topLinePunct w:val="0"/>
        <w:autoSpaceDE w:val="0"/>
        <w:autoSpaceDN w:val="0"/>
        <w:bidi w:val="0"/>
        <w:adjustRightInd w:val="0"/>
        <w:snapToGrid w:val="0"/>
        <w:spacing w:after="0" w:line="576" w:lineRule="exact"/>
        <w:ind w:right="0" w:firstLine="656" w:firstLineChars="200"/>
        <w:jc w:val="both"/>
        <w:textAlignment w:val="baseline"/>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pacing w:val="4"/>
          <w:kern w:val="2"/>
          <w:sz w:val="32"/>
          <w:szCs w:val="32"/>
          <w:lang w:val="en-US" w:eastAsia="zh-CN" w:bidi="ar-SA"/>
        </w:rPr>
        <w:t>对选择产权调换的被征收人，</w:t>
      </w:r>
      <w:r>
        <w:rPr>
          <w:rFonts w:hint="default" w:ascii="Times New Roman" w:hAnsi="Times New Roman" w:eastAsia="仿宋_GB2312" w:cs="Times New Roman"/>
          <w:color w:val="auto"/>
          <w:spacing w:val="6"/>
          <w:kern w:val="2"/>
          <w:sz w:val="32"/>
          <w:szCs w:val="32"/>
          <w:lang w:val="en-US" w:eastAsia="zh-CN" w:bidi="ar-SA"/>
        </w:rPr>
        <w:t>按被征收房屋的合法建筑面积一次性支付六个月临时安置补偿费。</w:t>
      </w:r>
    </w:p>
    <w:p w14:paraId="584191CD">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4.相关移装固定设施补助费</w:t>
      </w:r>
    </w:p>
    <w:p w14:paraId="40F3D05E">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被征收</w:t>
      </w:r>
      <w:r>
        <w:rPr>
          <w:rFonts w:hint="default" w:ascii="Times New Roman" w:hAnsi="Times New Roman" w:eastAsia="仿宋_GB2312" w:cs="Times New Roman"/>
          <w:color w:val="auto"/>
          <w:sz w:val="32"/>
          <w:szCs w:val="32"/>
        </w:rPr>
        <w:t>人的电话移机费、宽带上网初装费和原水、电增容、管道煤气气源建设费及安装费、有线电视原装费用参照市政府相关文件规定予以补偿。太阳能热水器移装按每台750元补偿（含材料损耗费）、空调移机费用按每台650元补偿（含材料损耗费）。</w:t>
      </w:r>
    </w:p>
    <w:p w14:paraId="57D07B2A">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5.搬迁奖励费</w:t>
      </w:r>
    </w:p>
    <w:p w14:paraId="3F50473A">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（1）搬迁奖励费：被</w:t>
      </w:r>
      <w:r>
        <w:rPr>
          <w:rFonts w:hint="default" w:ascii="Times New Roman" w:hAnsi="Times New Roman" w:eastAsia="仿宋_GB2312" w:cs="Times New Roman"/>
          <w:color w:val="auto"/>
          <w:sz w:val="32"/>
          <w:szCs w:val="32"/>
          <w:lang w:eastAsia="zh-CN"/>
        </w:rPr>
        <w:t>征收</w:t>
      </w:r>
      <w:r>
        <w:rPr>
          <w:rFonts w:hint="default" w:ascii="Times New Roman" w:hAnsi="Times New Roman" w:eastAsia="仿宋_GB2312" w:cs="Times New Roman"/>
          <w:color w:val="auto"/>
          <w:sz w:val="32"/>
          <w:szCs w:val="32"/>
        </w:rPr>
        <w:t>人在房屋</w:t>
      </w:r>
      <w:r>
        <w:rPr>
          <w:rFonts w:hint="default" w:ascii="Times New Roman" w:hAnsi="Times New Roman" w:eastAsia="仿宋_GB2312" w:cs="Times New Roman"/>
          <w:color w:val="auto"/>
          <w:sz w:val="32"/>
          <w:szCs w:val="32"/>
          <w:lang w:eastAsia="zh-CN"/>
        </w:rPr>
        <w:t>征收补偿方案</w:t>
      </w:r>
      <w:r>
        <w:rPr>
          <w:rFonts w:hint="default" w:ascii="Times New Roman" w:hAnsi="Times New Roman" w:eastAsia="仿宋_GB2312" w:cs="Times New Roman"/>
          <w:color w:val="auto"/>
          <w:sz w:val="32"/>
          <w:szCs w:val="32"/>
        </w:rPr>
        <w:t>规定的</w:t>
      </w:r>
      <w:r>
        <w:rPr>
          <w:rFonts w:hint="default" w:ascii="Times New Roman" w:hAnsi="Times New Roman" w:eastAsia="仿宋_GB2312" w:cs="Times New Roman"/>
          <w:color w:val="auto"/>
          <w:sz w:val="32"/>
          <w:szCs w:val="32"/>
          <w:lang w:val="en-US" w:eastAsia="zh-CN"/>
        </w:rPr>
        <w:t>签约和奖励</w:t>
      </w:r>
      <w:r>
        <w:rPr>
          <w:rFonts w:hint="default" w:ascii="Times New Roman" w:hAnsi="Times New Roman" w:eastAsia="仿宋_GB2312" w:cs="Times New Roman"/>
          <w:color w:val="auto"/>
          <w:sz w:val="32"/>
          <w:szCs w:val="32"/>
          <w:lang w:eastAsia="zh-CN"/>
        </w:rPr>
        <w:t>期限内</w:t>
      </w:r>
      <w:r>
        <w:rPr>
          <w:rFonts w:hint="default" w:ascii="Times New Roman" w:hAnsi="Times New Roman" w:eastAsia="仿宋_GB2312" w:cs="Times New Roman"/>
          <w:color w:val="auto"/>
          <w:sz w:val="32"/>
          <w:szCs w:val="32"/>
        </w:rPr>
        <w:t>签约并</w:t>
      </w:r>
      <w:r>
        <w:rPr>
          <w:rFonts w:hint="default" w:ascii="Times New Roman" w:hAnsi="Times New Roman" w:eastAsia="仿宋_GB2312" w:cs="Times New Roman"/>
          <w:color w:val="auto"/>
          <w:sz w:val="32"/>
          <w:szCs w:val="32"/>
          <w:lang w:val="en-US" w:eastAsia="zh-CN"/>
        </w:rPr>
        <w:t>腾空交付</w:t>
      </w:r>
      <w:r>
        <w:rPr>
          <w:rFonts w:hint="default" w:ascii="Times New Roman" w:hAnsi="Times New Roman" w:eastAsia="仿宋_GB2312" w:cs="Times New Roman"/>
          <w:color w:val="auto"/>
          <w:sz w:val="32"/>
          <w:szCs w:val="32"/>
        </w:rPr>
        <w:t>完毕的给予30000元奖励。</w:t>
      </w:r>
    </w:p>
    <w:p w14:paraId="6AC50258">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color w:val="auto"/>
          <w:sz w:val="32"/>
          <w:szCs w:val="32"/>
        </w:rPr>
        <w:t>（2）奖励方式：奖励费的发放以计户规则所确定的户为单位。</w:t>
      </w:r>
      <w:r>
        <w:rPr>
          <w:rFonts w:hint="default" w:ascii="Times New Roman" w:hAnsi="Times New Roman" w:eastAsia="仿宋_GB2312" w:cs="Times New Roman"/>
          <w:b w:val="0"/>
          <w:bCs w:val="0"/>
          <w:color w:val="auto"/>
          <w:sz w:val="32"/>
          <w:szCs w:val="32"/>
        </w:rPr>
        <w:t>被征收人分别完成签约并腾空交房的，按户给予相应标准的奖励，其中，</w:t>
      </w:r>
      <w:r>
        <w:rPr>
          <w:rFonts w:hint="default" w:ascii="Times New Roman" w:hAnsi="Times New Roman" w:eastAsia="仿宋_GB2312" w:cs="Times New Roman"/>
          <w:b w:val="0"/>
          <w:bCs w:val="0"/>
          <w:color w:val="auto"/>
          <w:sz w:val="32"/>
          <w:szCs w:val="32"/>
          <w:lang w:val="en-US" w:eastAsia="zh-CN"/>
        </w:rPr>
        <w:t>在本方案规定的签约期限内</w:t>
      </w:r>
      <w:r>
        <w:rPr>
          <w:rFonts w:hint="default" w:ascii="Times New Roman" w:hAnsi="Times New Roman" w:eastAsia="仿宋_GB2312" w:cs="Times New Roman"/>
          <w:b w:val="0"/>
          <w:bCs w:val="0"/>
          <w:color w:val="auto"/>
          <w:sz w:val="32"/>
          <w:szCs w:val="32"/>
        </w:rPr>
        <w:t>完成签约</w:t>
      </w:r>
      <w:r>
        <w:rPr>
          <w:rFonts w:hint="default" w:ascii="Times New Roman" w:hAnsi="Times New Roman" w:eastAsia="仿宋_GB2312" w:cs="Times New Roman"/>
          <w:b w:val="0"/>
          <w:bCs w:val="0"/>
          <w:color w:val="auto"/>
          <w:sz w:val="32"/>
          <w:szCs w:val="32"/>
          <w:lang w:val="en-US" w:eastAsia="zh-CN"/>
        </w:rPr>
        <w:t>的</w:t>
      </w:r>
      <w:r>
        <w:rPr>
          <w:rFonts w:hint="default" w:ascii="Times New Roman" w:hAnsi="Times New Roman" w:eastAsia="仿宋_GB2312" w:cs="Times New Roman"/>
          <w:b w:val="0"/>
          <w:bCs w:val="0"/>
          <w:color w:val="auto"/>
          <w:sz w:val="32"/>
          <w:szCs w:val="32"/>
        </w:rPr>
        <w:t>奖励50%，</w:t>
      </w:r>
      <w:r>
        <w:rPr>
          <w:rFonts w:hint="default" w:ascii="Times New Roman" w:hAnsi="Times New Roman" w:eastAsia="仿宋_GB2312" w:cs="Times New Roman"/>
          <w:b w:val="0"/>
          <w:bCs w:val="0"/>
          <w:color w:val="auto"/>
          <w:sz w:val="32"/>
          <w:szCs w:val="32"/>
          <w:lang w:val="en-US" w:eastAsia="zh-CN"/>
        </w:rPr>
        <w:t>在本方案规定的提前搬迁奖励期限内</w:t>
      </w:r>
      <w:r>
        <w:rPr>
          <w:rFonts w:hint="default" w:ascii="Times New Roman" w:hAnsi="Times New Roman" w:eastAsia="仿宋_GB2312" w:cs="Times New Roman"/>
          <w:b w:val="0"/>
          <w:bCs w:val="0"/>
          <w:color w:val="auto"/>
          <w:sz w:val="32"/>
          <w:szCs w:val="32"/>
        </w:rPr>
        <w:t>腾空交房</w:t>
      </w:r>
      <w:r>
        <w:rPr>
          <w:rFonts w:hint="default" w:ascii="Times New Roman" w:hAnsi="Times New Roman" w:eastAsia="仿宋_GB2312" w:cs="Times New Roman"/>
          <w:b w:val="0"/>
          <w:bCs w:val="0"/>
          <w:color w:val="auto"/>
          <w:sz w:val="32"/>
          <w:szCs w:val="32"/>
          <w:lang w:val="en-US" w:eastAsia="zh-CN"/>
        </w:rPr>
        <w:t>的</w:t>
      </w:r>
      <w:r>
        <w:rPr>
          <w:rFonts w:hint="default" w:ascii="Times New Roman" w:hAnsi="Times New Roman" w:eastAsia="仿宋_GB2312" w:cs="Times New Roman"/>
          <w:b w:val="0"/>
          <w:bCs w:val="0"/>
          <w:color w:val="auto"/>
          <w:sz w:val="32"/>
          <w:szCs w:val="32"/>
        </w:rPr>
        <w:t>再奖励50%。超过</w:t>
      </w:r>
      <w:r>
        <w:rPr>
          <w:rFonts w:hint="default" w:ascii="Times New Roman" w:hAnsi="Times New Roman" w:eastAsia="仿宋_GB2312" w:cs="Times New Roman"/>
          <w:b w:val="0"/>
          <w:bCs w:val="0"/>
          <w:color w:val="auto"/>
          <w:sz w:val="32"/>
          <w:szCs w:val="32"/>
          <w:lang w:val="en-US" w:eastAsia="zh-CN"/>
        </w:rPr>
        <w:t>签约和</w:t>
      </w:r>
      <w:r>
        <w:rPr>
          <w:rFonts w:hint="default" w:ascii="Times New Roman" w:hAnsi="Times New Roman" w:eastAsia="仿宋_GB2312" w:cs="Times New Roman"/>
          <w:b w:val="0"/>
          <w:bCs w:val="0"/>
          <w:color w:val="auto"/>
          <w:sz w:val="32"/>
          <w:szCs w:val="32"/>
        </w:rPr>
        <w:t>奖励期限的，不得享受奖励。</w:t>
      </w:r>
    </w:p>
    <w:p w14:paraId="1A5C74DA">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6.其他各类补助费</w:t>
      </w:r>
    </w:p>
    <w:p w14:paraId="7768F102">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关于住宅房屋被</w:t>
      </w:r>
      <w:r>
        <w:rPr>
          <w:rFonts w:hint="default" w:ascii="Times New Roman" w:hAnsi="Times New Roman" w:eastAsia="仿宋_GB2312" w:cs="Times New Roman"/>
          <w:color w:val="auto"/>
          <w:sz w:val="32"/>
          <w:szCs w:val="32"/>
          <w:lang w:eastAsia="zh-CN"/>
        </w:rPr>
        <w:t>征收</w:t>
      </w:r>
      <w:r>
        <w:rPr>
          <w:rFonts w:hint="default" w:ascii="Times New Roman" w:hAnsi="Times New Roman" w:eastAsia="仿宋_GB2312" w:cs="Times New Roman"/>
          <w:color w:val="auto"/>
          <w:sz w:val="32"/>
          <w:szCs w:val="32"/>
        </w:rPr>
        <w:t>人（户）大病、残疾、贫困、高龄等的补助标准详见附件</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w:t>
      </w:r>
    </w:p>
    <w:p w14:paraId="0F4012D9">
      <w:pPr>
        <w:keepNext w:val="0"/>
        <w:keepLines w:val="0"/>
        <w:pageBreakBefore w:val="0"/>
        <w:widowControl/>
        <w:kinsoku w:val="0"/>
        <w:wordWrap/>
        <w:overflowPunct/>
        <w:topLinePunct w:val="0"/>
        <w:autoSpaceDE w:val="0"/>
        <w:autoSpaceDN w:val="0"/>
        <w:bidi w:val="0"/>
        <w:adjustRightInd w:val="0"/>
        <w:snapToGrid w:val="0"/>
        <w:spacing w:line="576" w:lineRule="exact"/>
        <w:ind w:left="0" w:right="0" w:firstLine="668" w:firstLineChars="200"/>
        <w:jc w:val="both"/>
        <w:textAlignment w:val="baseline"/>
        <w:rPr>
          <w:rFonts w:hint="default" w:ascii="Times New Roman" w:hAnsi="Times New Roman" w:eastAsia="黑体" w:cs="Times New Roman"/>
          <w:color w:val="auto"/>
          <w:spacing w:val="7"/>
          <w:sz w:val="32"/>
          <w:szCs w:val="32"/>
          <w:lang w:val="en-US" w:eastAsia="zh-CN"/>
        </w:rPr>
      </w:pPr>
      <w:r>
        <w:rPr>
          <w:rFonts w:hint="default" w:ascii="Times New Roman" w:hAnsi="Times New Roman" w:eastAsia="黑体" w:cs="Times New Roman"/>
          <w:color w:val="auto"/>
          <w:spacing w:val="7"/>
          <w:sz w:val="32"/>
          <w:szCs w:val="32"/>
          <w:lang w:val="en-US" w:eastAsia="zh-CN"/>
        </w:rPr>
        <w:t>四、产权调换用房</w:t>
      </w:r>
    </w:p>
    <w:p w14:paraId="42F8C778">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本项目拟提供华元嘉园小区作为产权调换房屋（具体房源信息详见附件2）。在征收过程中如有变化，根据实际情况再行调整。用于产权调换房屋的价值和被征收房屋价值在同一评估时点分别计算价格后，结清差价。</w:t>
      </w:r>
    </w:p>
    <w:p w14:paraId="054CD814">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黑体" w:cs="Times New Roman"/>
          <w:bCs/>
          <w:color w:val="auto"/>
          <w:sz w:val="32"/>
          <w:szCs w:val="32"/>
        </w:rPr>
      </w:pPr>
      <w:r>
        <w:rPr>
          <w:rFonts w:hint="eastAsia" w:ascii="Times New Roman" w:hAnsi="Times New Roman" w:eastAsia="黑体" w:cs="Times New Roman"/>
          <w:bCs/>
          <w:color w:val="auto"/>
          <w:kern w:val="2"/>
          <w:sz w:val="32"/>
          <w:szCs w:val="32"/>
          <w:lang w:val="en-US" w:eastAsia="zh-CN" w:bidi="ar-SA"/>
        </w:rPr>
        <w:t>五、</w:t>
      </w:r>
      <w:r>
        <w:rPr>
          <w:rFonts w:hint="default" w:ascii="Times New Roman" w:hAnsi="Times New Roman" w:eastAsia="黑体" w:cs="Times New Roman"/>
          <w:bCs/>
          <w:color w:val="auto"/>
          <w:sz w:val="32"/>
          <w:szCs w:val="32"/>
        </w:rPr>
        <w:t>居住保障</w:t>
      </w:r>
    </w:p>
    <w:p w14:paraId="14B8C8A7">
      <w:pPr>
        <w:keepNext w:val="0"/>
        <w:keepLines w:val="0"/>
        <w:pageBreakBefore w:val="0"/>
        <w:numPr>
          <w:ilvl w:val="0"/>
          <w:numId w:val="0"/>
        </w:numPr>
        <w:wordWrap/>
        <w:overflowPunct/>
        <w:topLinePunct w:val="0"/>
        <w:bidi w:val="0"/>
        <w:adjustRightInd w:val="0"/>
        <w:snapToGrid w:val="0"/>
        <w:spacing w:line="576" w:lineRule="exact"/>
        <w:ind w:firstLine="643" w:firstLineChars="200"/>
        <w:jc w:val="left"/>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（一）关于优先享受住房保障</w:t>
      </w:r>
    </w:p>
    <w:p w14:paraId="35B89CBF">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征收个人住宅，被征收人符合住房保障条件的，应当按照《苏州市住房保障实施办法（暂行）》等有关规定执行，被征收人可以不参加社会轮候。</w:t>
      </w:r>
    </w:p>
    <w:p w14:paraId="719327F6">
      <w:pPr>
        <w:keepNext w:val="0"/>
        <w:keepLines w:val="0"/>
        <w:pageBreakBefore w:val="0"/>
        <w:numPr>
          <w:ilvl w:val="0"/>
          <w:numId w:val="0"/>
        </w:numPr>
        <w:wordWrap/>
        <w:overflowPunct/>
        <w:topLinePunct w:val="0"/>
        <w:bidi w:val="0"/>
        <w:adjustRightInd w:val="0"/>
        <w:snapToGrid w:val="0"/>
        <w:spacing w:line="576" w:lineRule="exact"/>
        <w:ind w:firstLine="643" w:firstLineChars="200"/>
        <w:jc w:val="left"/>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（二）关于基本居住需求保障</w:t>
      </w:r>
    </w:p>
    <w:p w14:paraId="748315CD">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被征收人具有本市市区户籍，且在本市市区仅有一处住宅，获得的货币补偿金额低于征收决定之日由政府提供的最小户型的产权调换房源总价的，房屋征收部门直接对其用产权住宅安置的，被征收房屋不再补偿。</w:t>
      </w:r>
    </w:p>
    <w:p w14:paraId="1B506CA1">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符合住房保障条件的家庭，如果放弃优先住房保障的，可按照上述办法处理。</w:t>
      </w:r>
    </w:p>
    <w:p w14:paraId="77FEF31D">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申请基本居住需求保障对象的情况，应当在房屋征收范围内公示7天，无举报或异议的方能办理相关手续。</w:t>
      </w:r>
    </w:p>
    <w:p w14:paraId="739D1B63">
      <w:pPr>
        <w:keepNext w:val="0"/>
        <w:keepLines w:val="0"/>
        <w:pageBreakBefore w:val="0"/>
        <w:numPr>
          <w:ilvl w:val="0"/>
          <w:numId w:val="0"/>
        </w:numPr>
        <w:wordWrap/>
        <w:overflowPunct/>
        <w:topLinePunct w:val="0"/>
        <w:bidi w:val="0"/>
        <w:adjustRightInd w:val="0"/>
        <w:snapToGrid w:val="0"/>
        <w:spacing w:line="576" w:lineRule="exact"/>
        <w:ind w:firstLine="643" w:firstLineChars="200"/>
        <w:jc w:val="left"/>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（三）关于最低货币补偿标准</w:t>
      </w:r>
    </w:p>
    <w:p w14:paraId="47823B02">
      <w:pPr>
        <w:keepNext w:val="0"/>
        <w:keepLines w:val="0"/>
        <w:pageBreakBefore w:val="0"/>
        <w:numPr>
          <w:ilvl w:val="0"/>
          <w:numId w:val="0"/>
        </w:numPr>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被征收人具有本市市区户籍，且在本市市区仅有一处住宅，获得的货币补偿金额低于征收决定之日由政府提供的最小户型的产权调换房源总价的，房屋征收部门按照该总价对被征收人予以货币补偿。</w:t>
      </w:r>
    </w:p>
    <w:p w14:paraId="428B0308">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黑体" w:cs="Times New Roman"/>
          <w:bCs/>
          <w:color w:val="auto"/>
          <w:sz w:val="32"/>
          <w:szCs w:val="32"/>
          <w:lang w:eastAsia="zh-CN"/>
        </w:rPr>
      </w:pPr>
      <w:r>
        <w:rPr>
          <w:rFonts w:hint="default" w:ascii="Times New Roman" w:hAnsi="Times New Roman" w:eastAsia="黑体" w:cs="Times New Roman"/>
          <w:bCs/>
          <w:color w:val="auto"/>
          <w:sz w:val="32"/>
          <w:szCs w:val="32"/>
        </w:rPr>
        <w:t>六、</w:t>
      </w:r>
      <w:r>
        <w:rPr>
          <w:rFonts w:hint="default" w:ascii="Times New Roman" w:hAnsi="Times New Roman" w:eastAsia="黑体" w:cs="Times New Roman"/>
          <w:bCs/>
          <w:color w:val="auto"/>
          <w:sz w:val="32"/>
          <w:szCs w:val="32"/>
          <w:lang w:eastAsia="zh-CN"/>
        </w:rPr>
        <w:t>搬迁过渡方式</w:t>
      </w:r>
    </w:p>
    <w:p w14:paraId="0A21D02D">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highlight w:val="none"/>
          <w:lang w:val="en-US" w:eastAsia="zh-CN"/>
        </w:rPr>
        <w:t>被征收人应当在征收补偿协议约定或者征收补偿方案确定的征收期限内完成搬迁，自行过渡。</w:t>
      </w:r>
    </w:p>
    <w:p w14:paraId="56F8683A">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黑体" w:cs="Times New Roman"/>
          <w:bCs/>
          <w:color w:val="auto"/>
          <w:sz w:val="32"/>
          <w:szCs w:val="32"/>
        </w:rPr>
      </w:pPr>
      <w:r>
        <w:rPr>
          <w:rFonts w:hint="default" w:ascii="Times New Roman" w:hAnsi="Times New Roman" w:eastAsia="黑体" w:cs="Times New Roman"/>
          <w:bCs/>
          <w:color w:val="auto"/>
          <w:sz w:val="32"/>
          <w:szCs w:val="32"/>
        </w:rPr>
        <w:t>七、</w:t>
      </w:r>
      <w:r>
        <w:rPr>
          <w:rFonts w:hint="default" w:ascii="Times New Roman" w:hAnsi="Times New Roman" w:eastAsia="黑体" w:cs="Times New Roman"/>
          <w:bCs/>
          <w:color w:val="auto"/>
          <w:sz w:val="32"/>
          <w:szCs w:val="32"/>
          <w:lang w:eastAsia="zh-CN"/>
        </w:rPr>
        <w:t>拟定的签约期限</w:t>
      </w:r>
    </w:p>
    <w:p w14:paraId="3910709E">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自房屋征收决定公告之日起</w:t>
      </w:r>
      <w:r>
        <w:rPr>
          <w:rFonts w:hint="default"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lang w:eastAsia="zh-CN"/>
        </w:rPr>
        <w:t>个月</w:t>
      </w:r>
      <w:r>
        <w:rPr>
          <w:rFonts w:hint="default" w:ascii="Times New Roman" w:hAnsi="Times New Roman" w:eastAsia="仿宋_GB2312" w:cs="Times New Roman"/>
          <w:color w:val="auto"/>
          <w:sz w:val="32"/>
          <w:szCs w:val="32"/>
        </w:rPr>
        <w:t>。</w:t>
      </w:r>
    </w:p>
    <w:p w14:paraId="48CB95F0">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黑体" w:cs="Times New Roman"/>
          <w:bCs/>
          <w:color w:val="auto"/>
          <w:sz w:val="32"/>
          <w:szCs w:val="32"/>
        </w:rPr>
      </w:pPr>
      <w:r>
        <w:rPr>
          <w:rFonts w:hint="default" w:ascii="Times New Roman" w:hAnsi="Times New Roman" w:eastAsia="黑体" w:cs="Times New Roman"/>
          <w:bCs/>
          <w:color w:val="auto"/>
          <w:sz w:val="32"/>
          <w:szCs w:val="32"/>
          <w:lang w:eastAsia="zh-CN"/>
        </w:rPr>
        <w:t>八</w:t>
      </w:r>
      <w:r>
        <w:rPr>
          <w:rFonts w:hint="default" w:ascii="Times New Roman" w:hAnsi="Times New Roman" w:eastAsia="黑体" w:cs="Times New Roman"/>
          <w:bCs/>
          <w:color w:val="auto"/>
          <w:sz w:val="32"/>
          <w:szCs w:val="32"/>
        </w:rPr>
        <w:t>、拟定的</w:t>
      </w:r>
      <w:r>
        <w:rPr>
          <w:rFonts w:hint="default" w:ascii="Times New Roman" w:hAnsi="Times New Roman" w:eastAsia="黑体" w:cs="Times New Roman"/>
          <w:bCs/>
          <w:color w:val="auto"/>
          <w:sz w:val="32"/>
          <w:szCs w:val="32"/>
          <w:lang w:eastAsia="zh-CN"/>
        </w:rPr>
        <w:t>提前</w:t>
      </w:r>
      <w:r>
        <w:rPr>
          <w:rFonts w:hint="default" w:ascii="Times New Roman" w:hAnsi="Times New Roman" w:eastAsia="黑体" w:cs="Times New Roman"/>
          <w:bCs/>
          <w:color w:val="auto"/>
          <w:sz w:val="32"/>
          <w:szCs w:val="32"/>
        </w:rPr>
        <w:t>搬迁</w:t>
      </w:r>
      <w:r>
        <w:rPr>
          <w:rFonts w:hint="default" w:ascii="Times New Roman" w:hAnsi="Times New Roman" w:eastAsia="黑体" w:cs="Times New Roman"/>
          <w:bCs/>
          <w:color w:val="auto"/>
          <w:sz w:val="32"/>
          <w:szCs w:val="32"/>
          <w:lang w:eastAsia="zh-CN"/>
        </w:rPr>
        <w:t>奖励</w:t>
      </w:r>
      <w:r>
        <w:rPr>
          <w:rFonts w:hint="default" w:ascii="Times New Roman" w:hAnsi="Times New Roman" w:eastAsia="黑体" w:cs="Times New Roman"/>
          <w:bCs/>
          <w:color w:val="auto"/>
          <w:sz w:val="32"/>
          <w:szCs w:val="32"/>
        </w:rPr>
        <w:t>期限</w:t>
      </w:r>
    </w:p>
    <w:p w14:paraId="4F413F02">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自房屋征收补偿协议签订之日起一个月</w:t>
      </w:r>
      <w:r>
        <w:rPr>
          <w:rFonts w:hint="default" w:ascii="Times New Roman" w:hAnsi="Times New Roman" w:eastAsia="仿宋_GB2312" w:cs="Times New Roman"/>
          <w:color w:val="auto"/>
          <w:sz w:val="32"/>
          <w:szCs w:val="32"/>
        </w:rPr>
        <w:t>。</w:t>
      </w:r>
    </w:p>
    <w:p w14:paraId="62B584DC">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九、其他</w:t>
      </w:r>
    </w:p>
    <w:p w14:paraId="63B8649D">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关于大病、残疾、贫困、高龄等的补助标准同时在政府网站和征收现场公布。</w:t>
      </w:r>
    </w:p>
    <w:p w14:paraId="12EBAE4F">
      <w:pPr>
        <w:keepNext w:val="0"/>
        <w:keepLines w:val="0"/>
        <w:pageBreakBefore w:val="0"/>
        <w:wordWrap/>
        <w:overflowPunct/>
        <w:topLinePunct w:val="0"/>
        <w:bidi w:val="0"/>
        <w:adjustRightInd w:val="0"/>
        <w:snapToGrid w:val="0"/>
        <w:spacing w:line="576" w:lineRule="exact"/>
        <w:ind w:firstLine="640" w:firstLineChars="200"/>
        <w:jc w:val="left"/>
        <w:rPr>
          <w:rFonts w:hint="default" w:ascii="Times New Roman" w:hAnsi="Times New Roman" w:eastAsia="仿宋_GB2312" w:cs="Times New Roman"/>
          <w:color w:val="auto"/>
          <w:sz w:val="32"/>
          <w:szCs w:val="32"/>
          <w:lang w:val="en-US" w:eastAsia="zh-CN"/>
        </w:rPr>
      </w:pPr>
    </w:p>
    <w:p w14:paraId="08222FC3">
      <w:pPr>
        <w:keepNext w:val="0"/>
        <w:keepLines w:val="0"/>
        <w:pageBreakBefore w:val="0"/>
        <w:wordWrap/>
        <w:overflowPunct/>
        <w:topLinePunct w:val="0"/>
        <w:bidi w:val="0"/>
        <w:adjustRightInd w:val="0"/>
        <w:snapToGrid w:val="0"/>
        <w:spacing w:line="576" w:lineRule="exact"/>
        <w:ind w:firstLine="640" w:firstLineChars="200"/>
        <w:jc w:val="left"/>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附表：1.被征收人（户）补助标准</w:t>
      </w:r>
    </w:p>
    <w:p w14:paraId="1F6E857A">
      <w:pPr>
        <w:keepNext w:val="0"/>
        <w:keepLines w:val="0"/>
        <w:pageBreakBefore w:val="0"/>
        <w:wordWrap/>
        <w:overflowPunct/>
        <w:topLinePunct w:val="0"/>
        <w:bidi w:val="0"/>
        <w:adjustRightInd w:val="0"/>
        <w:snapToGrid w:val="0"/>
        <w:spacing w:line="576" w:lineRule="exact"/>
        <w:ind w:firstLine="1600" w:firstLineChars="500"/>
        <w:jc w:val="left"/>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2.娄北片区城中村改造地块项目产权调换房源</w:t>
      </w:r>
    </w:p>
    <w:p w14:paraId="70792516">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lang w:val="en-US" w:eastAsia="zh-CN"/>
        </w:rPr>
      </w:pPr>
    </w:p>
    <w:p w14:paraId="10234F5D">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lang w:val="en-US" w:eastAsia="zh-CN"/>
        </w:rPr>
      </w:pPr>
    </w:p>
    <w:p w14:paraId="1183A188">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lang w:val="en-US" w:eastAsia="zh-CN"/>
        </w:rPr>
      </w:pPr>
    </w:p>
    <w:p w14:paraId="526ACFAB">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lang w:val="en-US" w:eastAsia="zh-CN"/>
        </w:rPr>
      </w:pPr>
    </w:p>
    <w:p w14:paraId="2FE47763">
      <w:pPr>
        <w:adjustRightInd w:val="0"/>
        <w:snapToGrid w:val="0"/>
        <w:spacing w:line="600" w:lineRule="exact"/>
        <w:jc w:val="left"/>
        <w:rPr>
          <w:rFonts w:hint="eastAsia" w:ascii="黑体" w:hAnsi="黑体" w:eastAsia="黑体" w:cs="黑体"/>
          <w:b w:val="0"/>
          <w:bCs w:val="0"/>
          <w:color w:val="auto"/>
          <w:sz w:val="32"/>
          <w:szCs w:val="32"/>
          <w:lang w:val="en-US" w:eastAsia="zh-CN"/>
        </w:rPr>
      </w:pPr>
      <w:r>
        <w:rPr>
          <w:rFonts w:hint="default" w:ascii="Times New Roman" w:hAnsi="Times New Roman" w:eastAsia="仿宋_GB2312" w:cs="Times New Roman"/>
          <w:color w:val="auto"/>
          <w:sz w:val="32"/>
          <w:szCs w:val="32"/>
          <w:lang w:val="en-US" w:eastAsia="zh-CN"/>
        </w:rPr>
        <w:br w:type="page"/>
      </w:r>
      <w:r>
        <w:rPr>
          <w:rFonts w:hint="eastAsia" w:ascii="黑体" w:hAnsi="黑体" w:eastAsia="黑体" w:cs="黑体"/>
          <w:b w:val="0"/>
          <w:bCs w:val="0"/>
          <w:color w:val="auto"/>
          <w:sz w:val="32"/>
          <w:szCs w:val="32"/>
          <w:lang w:val="en-US" w:eastAsia="zh-CN"/>
        </w:rPr>
        <w:t>附表1</w:t>
      </w:r>
    </w:p>
    <w:p w14:paraId="239D1624">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b/>
          <w:bCs/>
          <w:color w:val="auto"/>
          <w:sz w:val="32"/>
          <w:szCs w:val="32"/>
          <w:lang w:val="en-US" w:eastAsia="zh-CN"/>
        </w:rPr>
      </w:pPr>
    </w:p>
    <w:p w14:paraId="649F8EB1">
      <w:pPr>
        <w:keepNext w:val="0"/>
        <w:keepLines w:val="0"/>
        <w:pageBreakBefore w:val="0"/>
        <w:wordWrap/>
        <w:overflowPunct/>
        <w:topLinePunct w:val="0"/>
        <w:bidi w:val="0"/>
        <w:adjustRightInd w:val="0"/>
        <w:snapToGrid w:val="0"/>
        <w:spacing w:line="600" w:lineRule="exact"/>
        <w:ind w:left="0" w:leftChars="0" w:firstLine="0" w:firstLineChars="0"/>
        <w:jc w:val="center"/>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被征收人（户）补助标准</w:t>
      </w:r>
    </w:p>
    <w:p w14:paraId="1C3DAF4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color w:val="auto"/>
          <w:sz w:val="44"/>
          <w:szCs w:val="44"/>
          <w:lang w:val="en-US" w:eastAsia="zh-CN"/>
        </w:rPr>
      </w:pPr>
    </w:p>
    <w:tbl>
      <w:tblPr>
        <w:tblStyle w:val="4"/>
        <w:tblW w:w="96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4"/>
        <w:gridCol w:w="2100"/>
        <w:gridCol w:w="1968"/>
        <w:gridCol w:w="3962"/>
      </w:tblGrid>
      <w:tr w14:paraId="2CF5B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4" w:type="dxa"/>
            <w:gridSpan w:val="2"/>
            <w:noWrap w:val="0"/>
            <w:vAlign w:val="center"/>
          </w:tcPr>
          <w:p w14:paraId="41E03539">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b/>
                <w:color w:val="auto"/>
                <w:sz w:val="28"/>
                <w:szCs w:val="20"/>
              </w:rPr>
            </w:pPr>
            <w:r>
              <w:rPr>
                <w:rFonts w:hint="default" w:ascii="Times New Roman" w:hAnsi="Times New Roman" w:eastAsia="仿宋_GB2312" w:cs="Times New Roman"/>
                <w:b/>
                <w:color w:val="auto"/>
                <w:sz w:val="28"/>
                <w:szCs w:val="20"/>
              </w:rPr>
              <w:t>补助类型</w:t>
            </w:r>
          </w:p>
        </w:tc>
        <w:tc>
          <w:tcPr>
            <w:tcW w:w="1968" w:type="dxa"/>
            <w:noWrap w:val="0"/>
            <w:vAlign w:val="center"/>
          </w:tcPr>
          <w:p w14:paraId="11F2CE6F">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0" w:firstLineChars="0"/>
              <w:jc w:val="center"/>
              <w:textAlignment w:val="auto"/>
              <w:rPr>
                <w:rFonts w:hint="default" w:ascii="Times New Roman" w:hAnsi="Times New Roman" w:eastAsia="仿宋_GB2312" w:cs="Times New Roman"/>
                <w:b/>
                <w:color w:val="auto"/>
                <w:sz w:val="28"/>
                <w:szCs w:val="20"/>
              </w:rPr>
            </w:pPr>
            <w:r>
              <w:rPr>
                <w:rFonts w:hint="default" w:ascii="Times New Roman" w:hAnsi="Times New Roman" w:eastAsia="仿宋_GB2312" w:cs="Times New Roman"/>
                <w:b/>
                <w:color w:val="auto"/>
                <w:sz w:val="28"/>
                <w:szCs w:val="20"/>
              </w:rPr>
              <w:t>补助金额</w:t>
            </w:r>
          </w:p>
          <w:p w14:paraId="2E047EA5">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0" w:firstLineChars="0"/>
              <w:jc w:val="center"/>
              <w:textAlignment w:val="auto"/>
              <w:rPr>
                <w:rFonts w:hint="default" w:ascii="Times New Roman" w:hAnsi="Times New Roman" w:eastAsia="仿宋_GB2312" w:cs="Times New Roman"/>
                <w:b/>
                <w:color w:val="auto"/>
                <w:sz w:val="28"/>
                <w:szCs w:val="20"/>
              </w:rPr>
            </w:pPr>
            <w:r>
              <w:rPr>
                <w:rFonts w:hint="default" w:ascii="Times New Roman" w:hAnsi="Times New Roman" w:eastAsia="仿宋_GB2312" w:cs="Times New Roman"/>
                <w:b/>
                <w:color w:val="auto"/>
                <w:sz w:val="28"/>
                <w:szCs w:val="20"/>
              </w:rPr>
              <w:t>（万元）</w:t>
            </w:r>
          </w:p>
        </w:tc>
        <w:tc>
          <w:tcPr>
            <w:tcW w:w="3962" w:type="dxa"/>
            <w:noWrap w:val="0"/>
            <w:vAlign w:val="center"/>
          </w:tcPr>
          <w:p w14:paraId="3BF073B4">
            <w:pPr>
              <w:keepNext w:val="0"/>
              <w:keepLines w:val="0"/>
              <w:pageBreakBefore w:val="0"/>
              <w:wordWrap/>
              <w:overflowPunct/>
              <w:topLinePunct w:val="0"/>
              <w:bidi w:val="0"/>
              <w:adjustRightInd w:val="0"/>
              <w:snapToGrid w:val="0"/>
              <w:spacing w:line="600" w:lineRule="exact"/>
              <w:ind w:firstLine="562" w:firstLineChars="200"/>
              <w:jc w:val="center"/>
              <w:rPr>
                <w:rFonts w:hint="default" w:ascii="Times New Roman" w:hAnsi="Times New Roman" w:eastAsia="仿宋_GB2312" w:cs="Times New Roman"/>
                <w:b/>
                <w:color w:val="auto"/>
                <w:sz w:val="28"/>
                <w:szCs w:val="20"/>
              </w:rPr>
            </w:pPr>
            <w:r>
              <w:rPr>
                <w:rFonts w:hint="default" w:ascii="Times New Roman" w:hAnsi="Times New Roman" w:eastAsia="仿宋_GB2312" w:cs="Times New Roman"/>
                <w:b/>
                <w:color w:val="auto"/>
                <w:sz w:val="28"/>
                <w:szCs w:val="20"/>
              </w:rPr>
              <w:t>备注</w:t>
            </w:r>
          </w:p>
        </w:tc>
      </w:tr>
      <w:tr w14:paraId="60DDD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dxa"/>
            <w:vMerge w:val="restart"/>
            <w:noWrap w:val="0"/>
            <w:vAlign w:val="center"/>
          </w:tcPr>
          <w:p w14:paraId="4E9C0763">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大病</w:t>
            </w:r>
          </w:p>
        </w:tc>
        <w:tc>
          <w:tcPr>
            <w:tcW w:w="2100" w:type="dxa"/>
            <w:noWrap w:val="0"/>
            <w:vAlign w:val="center"/>
          </w:tcPr>
          <w:p w14:paraId="4444F814">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危重病</w:t>
            </w:r>
          </w:p>
        </w:tc>
        <w:tc>
          <w:tcPr>
            <w:tcW w:w="1968" w:type="dxa"/>
            <w:noWrap w:val="0"/>
            <w:vAlign w:val="center"/>
          </w:tcPr>
          <w:p w14:paraId="370DB203">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3</w:t>
            </w:r>
          </w:p>
        </w:tc>
        <w:tc>
          <w:tcPr>
            <w:tcW w:w="3962" w:type="dxa"/>
            <w:noWrap w:val="0"/>
            <w:vAlign w:val="center"/>
          </w:tcPr>
          <w:p w14:paraId="3DAC65C4">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0" w:firstLineChars="0"/>
              <w:jc w:val="left"/>
              <w:textAlignment w:val="auto"/>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包括：癌症、白血病、尿毒症、血友病、系统性红斑狼疮、再生障碍性贫血、器官移植抗排异物治疗</w:t>
            </w:r>
          </w:p>
        </w:tc>
      </w:tr>
      <w:tr w14:paraId="26A4E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dxa"/>
            <w:vMerge w:val="continue"/>
            <w:noWrap w:val="0"/>
            <w:vAlign w:val="center"/>
          </w:tcPr>
          <w:p w14:paraId="3E670B4A">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27C674AD">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其他类型疾病</w:t>
            </w:r>
          </w:p>
        </w:tc>
        <w:tc>
          <w:tcPr>
            <w:tcW w:w="1968" w:type="dxa"/>
            <w:noWrap w:val="0"/>
            <w:vAlign w:val="center"/>
          </w:tcPr>
          <w:p w14:paraId="6D0AA11C">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1~2</w:t>
            </w:r>
          </w:p>
        </w:tc>
        <w:tc>
          <w:tcPr>
            <w:tcW w:w="3962" w:type="dxa"/>
            <w:noWrap w:val="0"/>
            <w:vAlign w:val="center"/>
          </w:tcPr>
          <w:p w14:paraId="6EE1E2E2">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0" w:firstLineChars="0"/>
              <w:jc w:val="left"/>
              <w:textAlignment w:val="auto"/>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在</w:t>
            </w:r>
            <w:r>
              <w:rPr>
                <w:rFonts w:hint="default" w:ascii="Times New Roman" w:hAnsi="Times New Roman" w:eastAsia="仿宋_GB2312" w:cs="Times New Roman"/>
                <w:color w:val="auto"/>
                <w:sz w:val="28"/>
                <w:szCs w:val="20"/>
                <w:lang w:eastAsia="zh-CN"/>
              </w:rPr>
              <w:t>征收</w:t>
            </w:r>
            <w:r>
              <w:rPr>
                <w:rFonts w:hint="default" w:ascii="Times New Roman" w:hAnsi="Times New Roman" w:eastAsia="仿宋_GB2312" w:cs="Times New Roman"/>
                <w:color w:val="auto"/>
                <w:sz w:val="28"/>
                <w:szCs w:val="20"/>
              </w:rPr>
              <w:t>决定发布后医院证明未愈，且一次性治疗自费超过2万（含2万）的贫困家庭补助2万，自费在</w:t>
            </w:r>
            <w:r>
              <w:rPr>
                <w:rFonts w:hint="eastAsia" w:ascii="Times New Roman" w:hAnsi="Times New Roman" w:eastAsia="仿宋_GB2312" w:cs="Times New Roman"/>
                <w:color w:val="auto"/>
                <w:sz w:val="28"/>
                <w:szCs w:val="20"/>
                <w:lang w:eastAsia="zh-CN"/>
              </w:rPr>
              <w:t>1万～2万</w:t>
            </w:r>
            <w:r>
              <w:rPr>
                <w:rFonts w:hint="default" w:ascii="Times New Roman" w:hAnsi="Times New Roman" w:eastAsia="仿宋_GB2312" w:cs="Times New Roman"/>
                <w:color w:val="auto"/>
                <w:sz w:val="28"/>
                <w:szCs w:val="20"/>
              </w:rPr>
              <w:t>以内的贫困家庭补助1万</w:t>
            </w:r>
          </w:p>
        </w:tc>
      </w:tr>
      <w:tr w14:paraId="5502D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restart"/>
            <w:noWrap w:val="0"/>
            <w:vAlign w:val="center"/>
          </w:tcPr>
          <w:p w14:paraId="566864A5">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残疾（含盲、聋、精神、智力、肢体）</w:t>
            </w:r>
          </w:p>
        </w:tc>
        <w:tc>
          <w:tcPr>
            <w:tcW w:w="2100" w:type="dxa"/>
            <w:noWrap w:val="0"/>
            <w:vAlign w:val="center"/>
          </w:tcPr>
          <w:p w14:paraId="7A6C0983">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1级</w:t>
            </w:r>
          </w:p>
        </w:tc>
        <w:tc>
          <w:tcPr>
            <w:tcW w:w="1968" w:type="dxa"/>
            <w:noWrap w:val="0"/>
            <w:vAlign w:val="center"/>
          </w:tcPr>
          <w:p w14:paraId="4EDDA22E">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3</w:t>
            </w:r>
          </w:p>
        </w:tc>
        <w:tc>
          <w:tcPr>
            <w:tcW w:w="3962" w:type="dxa"/>
            <w:vMerge w:val="restart"/>
            <w:noWrap w:val="0"/>
            <w:vAlign w:val="center"/>
          </w:tcPr>
          <w:p w14:paraId="6F77BF42">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残疾认定必须持有残疾证</w:t>
            </w:r>
          </w:p>
        </w:tc>
      </w:tr>
      <w:tr w14:paraId="0E3C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continue"/>
            <w:noWrap w:val="0"/>
            <w:vAlign w:val="center"/>
          </w:tcPr>
          <w:p w14:paraId="528FE4A9">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24FCDA75">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2级</w:t>
            </w:r>
          </w:p>
        </w:tc>
        <w:tc>
          <w:tcPr>
            <w:tcW w:w="1968" w:type="dxa"/>
            <w:noWrap w:val="0"/>
            <w:vAlign w:val="center"/>
          </w:tcPr>
          <w:p w14:paraId="44BB3805">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2</w:t>
            </w:r>
          </w:p>
        </w:tc>
        <w:tc>
          <w:tcPr>
            <w:tcW w:w="3962" w:type="dxa"/>
            <w:vMerge w:val="continue"/>
            <w:noWrap w:val="0"/>
            <w:vAlign w:val="center"/>
          </w:tcPr>
          <w:p w14:paraId="15042023">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r>
      <w:tr w14:paraId="60816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continue"/>
            <w:noWrap w:val="0"/>
            <w:vAlign w:val="center"/>
          </w:tcPr>
          <w:p w14:paraId="2F727EDC">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62D9813C">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3级</w:t>
            </w:r>
          </w:p>
        </w:tc>
        <w:tc>
          <w:tcPr>
            <w:tcW w:w="1968" w:type="dxa"/>
            <w:noWrap w:val="0"/>
            <w:vAlign w:val="center"/>
          </w:tcPr>
          <w:p w14:paraId="088F193C">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1</w:t>
            </w:r>
          </w:p>
        </w:tc>
        <w:tc>
          <w:tcPr>
            <w:tcW w:w="3962" w:type="dxa"/>
            <w:vMerge w:val="continue"/>
            <w:noWrap w:val="0"/>
            <w:vAlign w:val="center"/>
          </w:tcPr>
          <w:p w14:paraId="2EDA5039">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r>
      <w:tr w14:paraId="1463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continue"/>
            <w:noWrap w:val="0"/>
            <w:vAlign w:val="center"/>
          </w:tcPr>
          <w:p w14:paraId="172F60E5">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3F6FC5BD">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4级</w:t>
            </w:r>
          </w:p>
        </w:tc>
        <w:tc>
          <w:tcPr>
            <w:tcW w:w="1968" w:type="dxa"/>
            <w:noWrap w:val="0"/>
            <w:vAlign w:val="center"/>
          </w:tcPr>
          <w:p w14:paraId="01697F83">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0.5</w:t>
            </w:r>
          </w:p>
        </w:tc>
        <w:tc>
          <w:tcPr>
            <w:tcW w:w="3962" w:type="dxa"/>
            <w:vMerge w:val="continue"/>
            <w:noWrap w:val="0"/>
            <w:vAlign w:val="center"/>
          </w:tcPr>
          <w:p w14:paraId="6027C477">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r>
      <w:tr w14:paraId="571F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restart"/>
            <w:noWrap w:val="0"/>
            <w:vAlign w:val="center"/>
          </w:tcPr>
          <w:p w14:paraId="4571FAA2">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贫困</w:t>
            </w:r>
          </w:p>
        </w:tc>
        <w:tc>
          <w:tcPr>
            <w:tcW w:w="2100" w:type="dxa"/>
            <w:noWrap w:val="0"/>
            <w:vAlign w:val="center"/>
          </w:tcPr>
          <w:p w14:paraId="31BDCB39">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三无、五保户</w:t>
            </w:r>
          </w:p>
          <w:p w14:paraId="21673A3A">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（除集中供养）</w:t>
            </w:r>
          </w:p>
        </w:tc>
        <w:tc>
          <w:tcPr>
            <w:tcW w:w="1968" w:type="dxa"/>
            <w:noWrap w:val="0"/>
            <w:vAlign w:val="center"/>
          </w:tcPr>
          <w:p w14:paraId="006EC482">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2</w:t>
            </w:r>
          </w:p>
        </w:tc>
        <w:tc>
          <w:tcPr>
            <w:tcW w:w="3962" w:type="dxa"/>
            <w:vMerge w:val="restart"/>
            <w:noWrap w:val="0"/>
            <w:vAlign w:val="center"/>
          </w:tcPr>
          <w:p w14:paraId="614A4752">
            <w:pPr>
              <w:keepNext w:val="0"/>
              <w:keepLines w:val="0"/>
              <w:pageBreakBefore w:val="0"/>
              <w:wordWrap/>
              <w:overflowPunct/>
              <w:topLinePunct w:val="0"/>
              <w:bidi w:val="0"/>
              <w:adjustRightInd w:val="0"/>
              <w:snapToGrid w:val="0"/>
              <w:spacing w:line="600" w:lineRule="exact"/>
              <w:ind w:left="0" w:leftChars="0" w:firstLine="0" w:firstLineChars="0"/>
              <w:jc w:val="center"/>
              <w:rPr>
                <w:rFonts w:hint="eastAsia" w:ascii="Times New Roman" w:hAnsi="Times New Roman" w:eastAsia="仿宋_GB2312" w:cs="Times New Roman"/>
                <w:color w:val="auto"/>
                <w:sz w:val="28"/>
                <w:szCs w:val="20"/>
                <w:lang w:val="en-US" w:eastAsia="zh-CN"/>
              </w:rPr>
            </w:pPr>
            <w:r>
              <w:rPr>
                <w:rFonts w:hint="default" w:ascii="Times New Roman" w:hAnsi="Times New Roman" w:eastAsia="仿宋_GB2312" w:cs="Times New Roman"/>
                <w:color w:val="auto"/>
                <w:sz w:val="28"/>
                <w:szCs w:val="20"/>
              </w:rPr>
              <w:t>须提供民政部门有效</w:t>
            </w:r>
            <w:r>
              <w:rPr>
                <w:rFonts w:hint="eastAsia" w:ascii="Times New Roman" w:hAnsi="Times New Roman" w:eastAsia="仿宋_GB2312" w:cs="Times New Roman"/>
                <w:color w:val="auto"/>
                <w:sz w:val="28"/>
                <w:szCs w:val="20"/>
                <w:lang w:val="en-US" w:eastAsia="zh-CN"/>
              </w:rPr>
              <w:t>证明</w:t>
            </w:r>
          </w:p>
        </w:tc>
      </w:tr>
      <w:tr w14:paraId="5945D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continue"/>
            <w:noWrap w:val="0"/>
            <w:vAlign w:val="center"/>
          </w:tcPr>
          <w:p w14:paraId="4DBC0460">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47C7E50C">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低保家庭</w:t>
            </w:r>
          </w:p>
        </w:tc>
        <w:tc>
          <w:tcPr>
            <w:tcW w:w="1968" w:type="dxa"/>
            <w:noWrap w:val="0"/>
            <w:vAlign w:val="center"/>
          </w:tcPr>
          <w:p w14:paraId="7017A3CA">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1</w:t>
            </w:r>
          </w:p>
        </w:tc>
        <w:tc>
          <w:tcPr>
            <w:tcW w:w="3962" w:type="dxa"/>
            <w:vMerge w:val="continue"/>
            <w:noWrap w:val="0"/>
            <w:vAlign w:val="center"/>
          </w:tcPr>
          <w:p w14:paraId="31D175FA">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r>
      <w:tr w14:paraId="36036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continue"/>
            <w:noWrap w:val="0"/>
            <w:vAlign w:val="center"/>
          </w:tcPr>
          <w:p w14:paraId="2DCB6666">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25905519">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低保边缘人群</w:t>
            </w:r>
          </w:p>
        </w:tc>
        <w:tc>
          <w:tcPr>
            <w:tcW w:w="1968" w:type="dxa"/>
            <w:noWrap w:val="0"/>
            <w:vAlign w:val="center"/>
          </w:tcPr>
          <w:p w14:paraId="2F24A167">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0.5</w:t>
            </w:r>
          </w:p>
        </w:tc>
        <w:tc>
          <w:tcPr>
            <w:tcW w:w="3962" w:type="dxa"/>
            <w:vMerge w:val="continue"/>
            <w:noWrap w:val="0"/>
            <w:vAlign w:val="center"/>
          </w:tcPr>
          <w:p w14:paraId="50DCED36">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r>
      <w:tr w14:paraId="2B375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continue"/>
            <w:noWrap w:val="0"/>
            <w:vAlign w:val="center"/>
          </w:tcPr>
          <w:p w14:paraId="63F9B4A0">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6A2BC3A0">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特困职工</w:t>
            </w:r>
          </w:p>
        </w:tc>
        <w:tc>
          <w:tcPr>
            <w:tcW w:w="1968" w:type="dxa"/>
            <w:noWrap w:val="0"/>
            <w:vAlign w:val="center"/>
          </w:tcPr>
          <w:p w14:paraId="047EC8CD">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0.5</w:t>
            </w:r>
          </w:p>
        </w:tc>
        <w:tc>
          <w:tcPr>
            <w:tcW w:w="3962" w:type="dxa"/>
            <w:noWrap w:val="0"/>
            <w:vAlign w:val="center"/>
          </w:tcPr>
          <w:p w14:paraId="1C6D4BC9">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须提供市总工会有效证件</w:t>
            </w:r>
          </w:p>
        </w:tc>
      </w:tr>
      <w:tr w14:paraId="12D0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restart"/>
            <w:noWrap w:val="0"/>
            <w:vAlign w:val="center"/>
          </w:tcPr>
          <w:p w14:paraId="43AD1BB0">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高龄</w:t>
            </w:r>
          </w:p>
        </w:tc>
        <w:tc>
          <w:tcPr>
            <w:tcW w:w="2100" w:type="dxa"/>
            <w:noWrap w:val="0"/>
            <w:vAlign w:val="center"/>
          </w:tcPr>
          <w:p w14:paraId="028B623D">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100（含）周岁</w:t>
            </w:r>
          </w:p>
          <w:p w14:paraId="6584FAE9">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以上的老年人</w:t>
            </w:r>
          </w:p>
        </w:tc>
        <w:tc>
          <w:tcPr>
            <w:tcW w:w="1968" w:type="dxa"/>
            <w:noWrap w:val="0"/>
            <w:vAlign w:val="center"/>
          </w:tcPr>
          <w:p w14:paraId="547B14F3">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1</w:t>
            </w:r>
          </w:p>
        </w:tc>
        <w:tc>
          <w:tcPr>
            <w:tcW w:w="3962" w:type="dxa"/>
            <w:vMerge w:val="restart"/>
            <w:noWrap w:val="0"/>
            <w:vAlign w:val="center"/>
          </w:tcPr>
          <w:p w14:paraId="516D10DD">
            <w:pPr>
              <w:keepNext w:val="0"/>
              <w:keepLines w:val="0"/>
              <w:pageBreakBefore w:val="0"/>
              <w:wordWrap/>
              <w:overflowPunct/>
              <w:topLinePunct w:val="0"/>
              <w:bidi w:val="0"/>
              <w:adjustRightInd w:val="0"/>
              <w:snapToGrid w:val="0"/>
              <w:spacing w:line="600" w:lineRule="exact"/>
              <w:ind w:left="0" w:leftChars="0" w:firstLine="0" w:firstLineChars="0"/>
              <w:jc w:val="left"/>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以</w:t>
            </w:r>
            <w:r>
              <w:rPr>
                <w:rFonts w:hint="default" w:ascii="Times New Roman" w:hAnsi="Times New Roman" w:eastAsia="仿宋_GB2312" w:cs="Times New Roman"/>
                <w:color w:val="auto"/>
                <w:sz w:val="28"/>
                <w:szCs w:val="20"/>
                <w:lang w:eastAsia="zh-CN"/>
              </w:rPr>
              <w:t>征收</w:t>
            </w:r>
            <w:r>
              <w:rPr>
                <w:rFonts w:hint="default" w:ascii="Times New Roman" w:hAnsi="Times New Roman" w:eastAsia="仿宋_GB2312" w:cs="Times New Roman"/>
                <w:color w:val="auto"/>
                <w:sz w:val="28"/>
                <w:szCs w:val="20"/>
              </w:rPr>
              <w:t>决定发布当年被</w:t>
            </w:r>
            <w:r>
              <w:rPr>
                <w:rFonts w:hint="default" w:ascii="Times New Roman" w:hAnsi="Times New Roman" w:eastAsia="仿宋_GB2312" w:cs="Times New Roman"/>
                <w:color w:val="auto"/>
                <w:sz w:val="28"/>
                <w:szCs w:val="20"/>
                <w:lang w:eastAsia="zh-CN"/>
              </w:rPr>
              <w:t>征收</w:t>
            </w:r>
            <w:r>
              <w:rPr>
                <w:rFonts w:hint="default" w:ascii="Times New Roman" w:hAnsi="Times New Roman" w:eastAsia="仿宋_GB2312" w:cs="Times New Roman"/>
                <w:color w:val="auto"/>
                <w:sz w:val="28"/>
                <w:szCs w:val="20"/>
              </w:rPr>
              <w:t>人身份证或</w:t>
            </w:r>
            <w:r>
              <w:rPr>
                <w:rFonts w:hint="eastAsia" w:ascii="Times New Roman" w:hAnsi="Times New Roman" w:eastAsia="仿宋_GB2312" w:cs="Times New Roman"/>
                <w:color w:val="auto"/>
                <w:sz w:val="28"/>
                <w:szCs w:val="20"/>
                <w:lang w:eastAsia="zh-CN"/>
              </w:rPr>
              <w:t>户口簿</w:t>
            </w:r>
            <w:r>
              <w:rPr>
                <w:rFonts w:hint="default" w:ascii="Times New Roman" w:hAnsi="Times New Roman" w:eastAsia="仿宋_GB2312" w:cs="Times New Roman"/>
                <w:color w:val="auto"/>
                <w:sz w:val="28"/>
                <w:szCs w:val="20"/>
              </w:rPr>
              <w:t>记载的出生年月为准</w:t>
            </w:r>
          </w:p>
        </w:tc>
      </w:tr>
      <w:tr w14:paraId="6B90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continue"/>
            <w:noWrap w:val="0"/>
            <w:vAlign w:val="center"/>
          </w:tcPr>
          <w:p w14:paraId="54EABC41">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2315958C">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90~99（含）周岁的老年人</w:t>
            </w:r>
          </w:p>
        </w:tc>
        <w:tc>
          <w:tcPr>
            <w:tcW w:w="1968" w:type="dxa"/>
            <w:noWrap w:val="0"/>
            <w:vAlign w:val="center"/>
          </w:tcPr>
          <w:p w14:paraId="1D76FC9B">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0.8</w:t>
            </w:r>
          </w:p>
        </w:tc>
        <w:tc>
          <w:tcPr>
            <w:tcW w:w="3962" w:type="dxa"/>
            <w:vMerge w:val="continue"/>
            <w:noWrap w:val="0"/>
            <w:vAlign w:val="center"/>
          </w:tcPr>
          <w:p w14:paraId="58493803">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r>
      <w:tr w14:paraId="65C4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74" w:type="dxa"/>
            <w:vMerge w:val="continue"/>
            <w:noWrap w:val="0"/>
            <w:vAlign w:val="center"/>
          </w:tcPr>
          <w:p w14:paraId="1B285FD7">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c>
          <w:tcPr>
            <w:tcW w:w="2100" w:type="dxa"/>
            <w:noWrap w:val="0"/>
            <w:vAlign w:val="center"/>
          </w:tcPr>
          <w:p w14:paraId="2704BEF3">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80~89（含）周岁的老年人</w:t>
            </w:r>
          </w:p>
        </w:tc>
        <w:tc>
          <w:tcPr>
            <w:tcW w:w="1968" w:type="dxa"/>
            <w:noWrap w:val="0"/>
            <w:vAlign w:val="center"/>
          </w:tcPr>
          <w:p w14:paraId="2E671188">
            <w:pPr>
              <w:keepNext w:val="0"/>
              <w:keepLines w:val="0"/>
              <w:pageBreakBefore w:val="0"/>
              <w:wordWrap/>
              <w:overflowPunct/>
              <w:topLinePunct w:val="0"/>
              <w:bidi w:val="0"/>
              <w:adjustRightInd w:val="0"/>
              <w:snapToGrid w:val="0"/>
              <w:spacing w:line="600" w:lineRule="exact"/>
              <w:ind w:left="0" w:leftChars="0" w:firstLine="0" w:firstLineChars="0"/>
              <w:jc w:val="center"/>
              <w:rPr>
                <w:rFonts w:hint="default" w:ascii="Times New Roman" w:hAnsi="Times New Roman" w:eastAsia="仿宋_GB2312" w:cs="Times New Roman"/>
                <w:color w:val="auto"/>
                <w:sz w:val="28"/>
                <w:szCs w:val="20"/>
              </w:rPr>
            </w:pPr>
            <w:r>
              <w:rPr>
                <w:rFonts w:hint="default" w:ascii="Times New Roman" w:hAnsi="Times New Roman" w:eastAsia="仿宋_GB2312" w:cs="Times New Roman"/>
                <w:color w:val="auto"/>
                <w:sz w:val="28"/>
                <w:szCs w:val="20"/>
              </w:rPr>
              <w:t>0.5</w:t>
            </w:r>
          </w:p>
        </w:tc>
        <w:tc>
          <w:tcPr>
            <w:tcW w:w="3962" w:type="dxa"/>
            <w:vMerge w:val="continue"/>
            <w:noWrap w:val="0"/>
            <w:vAlign w:val="center"/>
          </w:tcPr>
          <w:p w14:paraId="2F3F1A54">
            <w:pPr>
              <w:keepNext w:val="0"/>
              <w:keepLines w:val="0"/>
              <w:pageBreakBefore w:val="0"/>
              <w:wordWrap/>
              <w:overflowPunct/>
              <w:topLinePunct w:val="0"/>
              <w:bidi w:val="0"/>
              <w:adjustRightInd w:val="0"/>
              <w:snapToGrid w:val="0"/>
              <w:spacing w:line="600" w:lineRule="exact"/>
              <w:ind w:firstLine="560" w:firstLineChars="200"/>
              <w:jc w:val="center"/>
              <w:rPr>
                <w:rFonts w:hint="default" w:ascii="Times New Roman" w:hAnsi="Times New Roman" w:eastAsia="仿宋_GB2312" w:cs="Times New Roman"/>
                <w:color w:val="auto"/>
                <w:sz w:val="28"/>
                <w:szCs w:val="20"/>
              </w:rPr>
            </w:pPr>
          </w:p>
        </w:tc>
      </w:tr>
    </w:tbl>
    <w:p w14:paraId="4C71B3B8">
      <w:pPr>
        <w:keepNext w:val="0"/>
        <w:keepLines w:val="0"/>
        <w:pageBreakBefore w:val="0"/>
        <w:wordWrap/>
        <w:overflowPunct/>
        <w:topLinePunct w:val="0"/>
        <w:bidi w:val="0"/>
        <w:adjustRightInd w:val="0"/>
        <w:snapToGrid w:val="0"/>
        <w:spacing w:line="600" w:lineRule="exact"/>
        <w:ind w:firstLine="56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28"/>
          <w:szCs w:val="28"/>
        </w:rPr>
        <w:t>注：根据补助类别确定相应的补助金额，补助金额可累计，但最高不超过五万元。</w:t>
      </w:r>
    </w:p>
    <w:p w14:paraId="52917644">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lang w:val="en-US" w:eastAsia="zh-CN"/>
        </w:rPr>
      </w:pPr>
    </w:p>
    <w:p w14:paraId="34EBAC02">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lang w:val="en-US" w:eastAsia="zh-CN"/>
        </w:rPr>
      </w:pPr>
    </w:p>
    <w:p w14:paraId="7BEEE0C7">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lang w:val="en-US" w:eastAsia="zh-CN"/>
        </w:rPr>
      </w:pPr>
    </w:p>
    <w:p w14:paraId="1FD205DB">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lang w:val="en-US" w:eastAsia="zh-CN"/>
        </w:rPr>
      </w:pPr>
    </w:p>
    <w:p w14:paraId="4B56889B">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lang w:val="en-US" w:eastAsia="zh-CN"/>
        </w:rPr>
      </w:pPr>
    </w:p>
    <w:p w14:paraId="0705D5F2">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lang w:val="en-US" w:eastAsia="zh-CN"/>
        </w:rPr>
      </w:pPr>
    </w:p>
    <w:p w14:paraId="4F0E01A3">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lang w:val="en-US" w:eastAsia="zh-CN"/>
        </w:rPr>
      </w:pPr>
    </w:p>
    <w:p w14:paraId="1D51471F">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lang w:val="en-US" w:eastAsia="zh-CN"/>
        </w:rPr>
      </w:pPr>
    </w:p>
    <w:p w14:paraId="3BC662DC">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lang w:val="en-US" w:eastAsia="zh-CN"/>
        </w:rPr>
      </w:pPr>
    </w:p>
    <w:p w14:paraId="7297655E">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lang w:val="en-US" w:eastAsia="zh-CN"/>
        </w:rPr>
      </w:pPr>
    </w:p>
    <w:p w14:paraId="3CC4197F">
      <w:pPr>
        <w:keepNext w:val="0"/>
        <w:keepLines w:val="0"/>
        <w:pageBreakBefore w:val="0"/>
        <w:wordWrap/>
        <w:overflowPunct/>
        <w:topLinePunct w:val="0"/>
        <w:bidi w:val="0"/>
        <w:adjustRightInd w:val="0"/>
        <w:snapToGrid w:val="0"/>
        <w:spacing w:line="600" w:lineRule="exact"/>
        <w:ind w:firstLine="640" w:firstLineChars="200"/>
        <w:jc w:val="left"/>
        <w:rPr>
          <w:rFonts w:hint="default" w:ascii="Times New Roman" w:hAnsi="Times New Roman" w:eastAsia="仿宋_GB2312" w:cs="Times New Roman"/>
          <w:color w:val="auto"/>
          <w:sz w:val="32"/>
          <w:szCs w:val="32"/>
          <w:lang w:val="en-US" w:eastAsia="zh-CN"/>
        </w:rPr>
      </w:pPr>
    </w:p>
    <w:p w14:paraId="2BC8109B">
      <w:pPr>
        <w:adjustRightInd w:val="0"/>
        <w:snapToGrid w:val="0"/>
        <w:spacing w:line="600" w:lineRule="exact"/>
        <w:jc w:val="left"/>
        <w:rPr>
          <w:rFonts w:hint="eastAsia" w:ascii="仿宋_GB2312" w:hAnsi="仿宋_GB2312" w:eastAsia="仿宋_GB2312" w:cs="仿宋_GB2312"/>
          <w:b/>
          <w:bCs/>
          <w:i w:val="0"/>
          <w:iCs w:val="0"/>
          <w:color w:val="auto"/>
          <w:kern w:val="0"/>
          <w:sz w:val="32"/>
          <w:szCs w:val="32"/>
          <w:u w:val="none"/>
          <w:lang w:val="en-US" w:eastAsia="zh-CN" w:bidi="ar"/>
        </w:rPr>
      </w:pPr>
      <w:r>
        <w:rPr>
          <w:rFonts w:hint="default" w:ascii="Times New Roman" w:hAnsi="Times New Roman" w:eastAsia="仿宋_GB2312" w:cs="Times New Roman"/>
          <w:color w:val="auto"/>
          <w:sz w:val="32"/>
          <w:szCs w:val="32"/>
          <w:lang w:val="en-US" w:eastAsia="zh-CN"/>
        </w:rPr>
        <w:br w:type="page"/>
      </w:r>
      <w:r>
        <w:rPr>
          <w:rFonts w:hint="eastAsia" w:ascii="黑体" w:hAnsi="黑体" w:eastAsia="黑体" w:cs="黑体"/>
          <w:b w:val="0"/>
          <w:bCs w:val="0"/>
          <w:color w:val="auto"/>
          <w:sz w:val="32"/>
          <w:szCs w:val="32"/>
          <w:lang w:val="en-US" w:eastAsia="zh-CN"/>
        </w:rPr>
        <w:t>附表2</w:t>
      </w:r>
    </w:p>
    <w:p w14:paraId="1EE00488">
      <w:pPr>
        <w:keepNext w:val="0"/>
        <w:keepLines w:val="0"/>
        <w:widowControl/>
        <w:suppressLineNumbers w:val="0"/>
        <w:adjustRightInd w:val="0"/>
        <w:snapToGrid w:val="0"/>
        <w:spacing w:line="600" w:lineRule="exact"/>
        <w:ind w:left="0" w:leftChars="0" w:firstLine="0" w:firstLineChars="0"/>
        <w:jc w:val="center"/>
        <w:textAlignment w:val="center"/>
        <w:rPr>
          <w:rFonts w:hint="eastAsia" w:ascii="方正小标宋简体" w:hAnsi="方正小标宋简体" w:eastAsia="方正小标宋简体" w:cs="方正小标宋简体"/>
          <w:b w:val="0"/>
          <w:bCs w:val="0"/>
          <w:i w:val="0"/>
          <w:iCs w:val="0"/>
          <w:color w:val="auto"/>
          <w:kern w:val="0"/>
          <w:sz w:val="32"/>
          <w:szCs w:val="32"/>
          <w:u w:val="none"/>
          <w:lang w:val="en-US" w:eastAsia="zh-CN" w:bidi="ar"/>
        </w:rPr>
      </w:pPr>
    </w:p>
    <w:p w14:paraId="64CF4BC6">
      <w:pPr>
        <w:keepNext w:val="0"/>
        <w:keepLines w:val="0"/>
        <w:widowControl/>
        <w:suppressLineNumbers w:val="0"/>
        <w:adjustRightInd w:val="0"/>
        <w:snapToGrid w:val="0"/>
        <w:spacing w:line="600" w:lineRule="exact"/>
        <w:ind w:left="0" w:leftChars="0" w:firstLine="0" w:firstLineChars="0"/>
        <w:jc w:val="center"/>
        <w:textAlignment w:val="center"/>
        <w:rPr>
          <w:rFonts w:hint="eastAsia" w:ascii="方正小标宋简体" w:hAnsi="方正小标宋简体" w:eastAsia="方正小标宋简体" w:cs="方正小标宋简体"/>
          <w:b w:val="0"/>
          <w:bCs w:val="0"/>
          <w:i w:val="0"/>
          <w:iCs w:val="0"/>
          <w:color w:val="auto"/>
          <w:kern w:val="0"/>
          <w:sz w:val="44"/>
          <w:szCs w:val="44"/>
          <w:u w:val="none"/>
          <w:lang w:val="en-US" w:eastAsia="zh-CN" w:bidi="ar"/>
        </w:rPr>
      </w:pPr>
      <w:r>
        <w:rPr>
          <w:rFonts w:hint="eastAsia" w:ascii="方正小标宋简体" w:hAnsi="方正小标宋简体" w:eastAsia="方正小标宋简体" w:cs="方正小标宋简体"/>
          <w:b w:val="0"/>
          <w:bCs w:val="0"/>
          <w:i w:val="0"/>
          <w:iCs w:val="0"/>
          <w:color w:val="auto"/>
          <w:kern w:val="0"/>
          <w:sz w:val="44"/>
          <w:szCs w:val="44"/>
          <w:u w:val="none"/>
          <w:lang w:val="en-US" w:eastAsia="zh-CN" w:bidi="ar"/>
        </w:rPr>
        <w:t>娄北片区城中村改造地块项目产权调换房源</w:t>
      </w:r>
    </w:p>
    <w:p w14:paraId="3781035F">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leftChars="0" w:firstLine="0" w:firstLineChars="0"/>
        <w:jc w:val="center"/>
        <w:textAlignment w:val="center"/>
        <w:rPr>
          <w:rFonts w:hint="eastAsia" w:ascii="方正小标宋简体" w:hAnsi="方正小标宋简体" w:eastAsia="方正小标宋简体" w:cs="方正小标宋简体"/>
          <w:b w:val="0"/>
          <w:bCs w:val="0"/>
          <w:i w:val="0"/>
          <w:iCs w:val="0"/>
          <w:color w:val="auto"/>
          <w:kern w:val="0"/>
          <w:sz w:val="44"/>
          <w:szCs w:val="44"/>
          <w:u w:val="none"/>
          <w:lang w:val="en-US" w:eastAsia="zh-CN" w:bidi="ar"/>
        </w:rPr>
      </w:pPr>
    </w:p>
    <w:tbl>
      <w:tblPr>
        <w:tblStyle w:val="4"/>
        <w:tblW w:w="88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3"/>
        <w:gridCol w:w="1701"/>
        <w:gridCol w:w="1247"/>
        <w:gridCol w:w="1032"/>
        <w:gridCol w:w="1256"/>
        <w:gridCol w:w="2062"/>
        <w:gridCol w:w="882"/>
      </w:tblGrid>
      <w:tr w14:paraId="7BF16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3C0E62EE">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序号</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6F9F9626">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小区名称</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5CBAAC4B">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公安幢号</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4BCE1505">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室号</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756F9106">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户型</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59D1B9BF">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实测房面积（㎡）</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4D22984E">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备注</w:t>
            </w:r>
          </w:p>
        </w:tc>
      </w:tr>
      <w:tr w14:paraId="42A94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00308ECF">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63216E23">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63A48A2B">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7E9F6C33">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1202</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596B8223">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A</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7B952C76">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45.41</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359188D6">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2EF48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4852438C">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51B7BF8F">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73111064">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62CD4700">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1302</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4A409EC1">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A</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0C21F309">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45.41</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186AD10F">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54757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2356BC93">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618937F5">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3BA11989">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139568DA">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1402</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16D72FA6">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A</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1387EB0D">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45.41</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10195EB6">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604C2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3DF1F8CE">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4</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418A6A80">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4489D2A3">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5F4F215D">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1303</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42D50D35">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A</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2DA2CE78">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45.41</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33834E3C">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5340F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74FB1B5E">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6301D6D0">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3F24565F">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7B2BA1BE">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603</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4AB135AA">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B</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491E0808">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62.54</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3CEE62DA">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409CB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1D1CE64B">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08588B2A">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24A29160">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4EC34A09">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703</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6EF3AD4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B</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2CB01AC6">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62.54</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007E23DF">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5600D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08AE02BB">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7</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70F1ABC4">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428DA401">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46D3792C">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803</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27BADAC9">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B</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5E7C7524">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62.54</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7B95AF05">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1695F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4C2726B0">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8</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36C701F0">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199F393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1604813A">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903</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3BF8058E">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B</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6514AD7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62.54</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4C39F5D3">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70A66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42408F4E">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9</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4EB9C6DD">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23A7E0D6">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4BCCC342">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1003</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5C98BA93">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B</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65DFE083">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62.54</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5BC65596">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59F06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7542E5EB">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59E6E14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0ECAB95D">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8</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00733899">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402</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77F0F11E">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B</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3F958B92">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61.83</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4F96FF3C">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745C8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45A6F1FC">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11</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0AAF29A5">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5BDB3E3F">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8</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15CC9B7F">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1203</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3C3A6202">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B</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3B77B134">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61.83</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6C0897FE">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3C5E1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7C63D089">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12</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16AF0A9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1AEB925D">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8</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3360F99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1503</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121130EA">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B</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243ACB9F">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61.83</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04704C8C">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18CBC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6B99FB03">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13</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7760F4C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188AA864">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8</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055D8D1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1603</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74AED849">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B</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2F57CC94">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61.83</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6D242064">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2042E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46CD0720">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14</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654363E1">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4CEB8C22">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8</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34DF13A4">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1803</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5105984C">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B</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77360AD5">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61.83</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1A3E0601">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43CCB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27EF539F">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15</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1ECC5F5E">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64905CB1">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8</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49BDA261">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1903</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3DEF391B">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B</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6EC5AD66">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61.83</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1A5B8ADE">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290D0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115A55F5">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16</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766753D0">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3E6F4CED">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14</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0BC90FC5">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902</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0B3FFB33">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B</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39AF099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61.84</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42F44D1E">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4C72E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065B9943">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17</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7621E48F">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2F8741F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14</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5A2C4FB6">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1002</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182B791B">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B</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22DA541E">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61.84</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66E087CD">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6E8B1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6F1FFAD9">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18</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4CC02F1D">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7DD4B572">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14</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255BC45F">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603</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30069E14">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B</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609188C8">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61.84</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2DCDE76D">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71EC3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7B1EAB5B">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19</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55FA9480">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3E0E05BF">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14</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19FE329A">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1203</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2F8B40C3">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B</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20005924">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61.84</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424E551D">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000A4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61B7B451">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20</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080EF13A">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3E274EA8">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12</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587FD6A3">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1002</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2656A562">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B</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15119C3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61.72</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73AFAECC">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67A74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48C1A306">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21</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778D7022">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59FB8084">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9</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6BE33FC3">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502</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43B47780">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C</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14D93026">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80.96</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699F3B01">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42E6D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19E1AF7D">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22</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17BC0E3B">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044DFDDC">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13</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0E3DD1EA">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506</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384EB021">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C</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4C7ABD7F">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80.94</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3B7589A5">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r w14:paraId="0A8EF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693" w:type="dxa"/>
            <w:tcBorders>
              <w:top w:val="single" w:color="000000" w:sz="4" w:space="0"/>
              <w:left w:val="single" w:color="000000" w:sz="4" w:space="0"/>
              <w:bottom w:val="single" w:color="000000" w:sz="4" w:space="0"/>
              <w:right w:val="single" w:color="000000" w:sz="4" w:space="0"/>
            </w:tcBorders>
            <w:noWrap/>
            <w:vAlign w:val="center"/>
          </w:tcPr>
          <w:p w14:paraId="28582638">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23</w:t>
            </w:r>
          </w:p>
        </w:tc>
        <w:tc>
          <w:tcPr>
            <w:tcW w:w="1701" w:type="dxa"/>
            <w:tcBorders>
              <w:top w:val="single" w:color="000000" w:sz="4" w:space="0"/>
              <w:left w:val="single" w:color="000000" w:sz="4" w:space="0"/>
              <w:bottom w:val="single" w:color="000000" w:sz="4" w:space="0"/>
              <w:right w:val="single" w:color="000000" w:sz="4" w:space="0"/>
            </w:tcBorders>
            <w:noWrap/>
            <w:vAlign w:val="center"/>
          </w:tcPr>
          <w:p w14:paraId="5A0C9697">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华元嘉园</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54F54153">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12</w:t>
            </w: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79EA1DD3">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507</w:t>
            </w:r>
          </w:p>
        </w:tc>
        <w:tc>
          <w:tcPr>
            <w:tcW w:w="1256" w:type="dxa"/>
            <w:tcBorders>
              <w:top w:val="single" w:color="000000" w:sz="4" w:space="0"/>
              <w:left w:val="single" w:color="000000" w:sz="4" w:space="0"/>
              <w:bottom w:val="single" w:color="000000" w:sz="4" w:space="0"/>
              <w:right w:val="single" w:color="000000" w:sz="4" w:space="0"/>
            </w:tcBorders>
            <w:noWrap/>
            <w:vAlign w:val="center"/>
          </w:tcPr>
          <w:p w14:paraId="37D39DBC">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C</w:t>
            </w:r>
          </w:p>
        </w:tc>
        <w:tc>
          <w:tcPr>
            <w:tcW w:w="2062" w:type="dxa"/>
            <w:tcBorders>
              <w:top w:val="single" w:color="000000" w:sz="4" w:space="0"/>
              <w:left w:val="single" w:color="000000" w:sz="4" w:space="0"/>
              <w:bottom w:val="single" w:color="000000" w:sz="4" w:space="0"/>
              <w:right w:val="single" w:color="000000" w:sz="4" w:space="0"/>
            </w:tcBorders>
            <w:noWrap/>
            <w:vAlign w:val="center"/>
          </w:tcPr>
          <w:p w14:paraId="159445E5">
            <w:pPr>
              <w:keepNext w:val="0"/>
              <w:keepLines w:val="0"/>
              <w:widowControl/>
              <w:suppressLineNumbers w:val="0"/>
              <w:adjustRightInd w:val="0"/>
              <w:snapToGrid w:val="0"/>
              <w:spacing w:line="600" w:lineRule="exact"/>
              <w:ind w:left="0" w:leftChars="0" w:firstLine="0" w:firstLineChars="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81.06</w:t>
            </w:r>
          </w:p>
        </w:tc>
        <w:tc>
          <w:tcPr>
            <w:tcW w:w="882" w:type="dxa"/>
            <w:tcBorders>
              <w:top w:val="single" w:color="000000" w:sz="4" w:space="0"/>
              <w:left w:val="single" w:color="000000" w:sz="4" w:space="0"/>
              <w:bottom w:val="single" w:color="000000" w:sz="4" w:space="0"/>
              <w:right w:val="single" w:color="000000" w:sz="4" w:space="0"/>
            </w:tcBorders>
            <w:noWrap/>
            <w:vAlign w:val="center"/>
          </w:tcPr>
          <w:p w14:paraId="113EB19B">
            <w:pPr>
              <w:adjustRightInd w:val="0"/>
              <w:snapToGrid w:val="0"/>
              <w:spacing w:line="600" w:lineRule="exact"/>
              <w:ind w:firstLine="440" w:firstLineChars="200"/>
              <w:jc w:val="center"/>
              <w:rPr>
                <w:rFonts w:hint="default" w:ascii="Times New Roman" w:hAnsi="Times New Roman" w:eastAsia="仿宋_GB2312" w:cs="Times New Roman"/>
                <w:i w:val="0"/>
                <w:iCs w:val="0"/>
                <w:color w:val="auto"/>
                <w:sz w:val="22"/>
                <w:szCs w:val="22"/>
                <w:u w:val="none"/>
              </w:rPr>
            </w:pPr>
          </w:p>
        </w:tc>
      </w:tr>
    </w:tbl>
    <w:p w14:paraId="6A7FAB1E">
      <w:pPr>
        <w:tabs>
          <w:tab w:val="left" w:pos="2472"/>
        </w:tabs>
        <w:adjustRightInd w:val="0"/>
        <w:snapToGrid w:val="0"/>
        <w:spacing w:line="560" w:lineRule="exact"/>
        <w:ind w:firstLine="640" w:firstLineChars="200"/>
        <w:jc w:val="left"/>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ab/>
      </w:r>
    </w:p>
    <w:p w14:paraId="042FA3C5">
      <w:pPr>
        <w:adjustRightInd w:val="0"/>
        <w:snapToGrid w:val="0"/>
        <w:spacing w:line="560" w:lineRule="exact"/>
        <w:ind w:firstLine="640" w:firstLineChars="200"/>
        <w:jc w:val="center"/>
        <w:rPr>
          <w:rFonts w:ascii="Times New Roman" w:hAnsi="Times New Roman" w:eastAsia="仿宋_GB2312" w:cs="Times New Roman"/>
          <w:color w:val="auto"/>
          <w:sz w:val="32"/>
          <w:szCs w:val="32"/>
        </w:rPr>
      </w:pPr>
    </w:p>
    <w:p w14:paraId="46382504">
      <w:pPr>
        <w:adjustRightInd w:val="0"/>
        <w:snapToGrid w:val="0"/>
        <w:spacing w:line="560" w:lineRule="exact"/>
        <w:ind w:firstLine="640" w:firstLineChars="200"/>
        <w:jc w:val="center"/>
        <w:rPr>
          <w:rFonts w:ascii="Times New Roman" w:hAnsi="Times New Roman" w:eastAsia="仿宋_GB2312" w:cs="Times New Roman"/>
          <w:color w:val="auto"/>
          <w:sz w:val="32"/>
          <w:szCs w:val="32"/>
        </w:rPr>
      </w:pPr>
    </w:p>
    <w:p w14:paraId="22441F3B">
      <w:pPr>
        <w:adjustRightInd w:val="0"/>
        <w:snapToGrid w:val="0"/>
        <w:spacing w:line="560" w:lineRule="exact"/>
        <w:ind w:firstLine="640" w:firstLineChars="200"/>
        <w:jc w:val="center"/>
        <w:rPr>
          <w:rFonts w:ascii="Times New Roman" w:hAnsi="Times New Roman" w:eastAsia="仿宋_GB2312" w:cs="Times New Roman"/>
          <w:color w:val="auto"/>
          <w:sz w:val="32"/>
          <w:szCs w:val="32"/>
        </w:rPr>
      </w:pPr>
    </w:p>
    <w:p w14:paraId="15123D78">
      <w:pPr>
        <w:adjustRightInd w:val="0"/>
        <w:snapToGrid w:val="0"/>
        <w:spacing w:line="560" w:lineRule="exact"/>
        <w:ind w:firstLine="640" w:firstLineChars="200"/>
        <w:jc w:val="center"/>
        <w:rPr>
          <w:rFonts w:ascii="Times New Roman" w:hAnsi="Times New Roman" w:eastAsia="仿宋_GB2312" w:cs="Times New Roman"/>
          <w:color w:val="auto"/>
          <w:sz w:val="32"/>
          <w:szCs w:val="32"/>
        </w:rPr>
      </w:pPr>
    </w:p>
    <w:p w14:paraId="51F08DAD"/>
    <w:sectPr>
      <w:footerReference r:id="rId3" w:type="default"/>
      <w:pgSz w:w="11906" w:h="16838"/>
      <w:pgMar w:top="1440" w:right="1701" w:bottom="1440"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国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国标黑体">
    <w:panose1 w:val="020005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9962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3DD12F">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53DD12F">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3CC1E0"/>
    <w:multiLevelType w:val="singleLevel"/>
    <w:tmpl w:val="E63CC1E0"/>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B2BDA4"/>
    <w:rsid w:val="3FB2BDA4"/>
    <w:rsid w:val="6DDD63E3"/>
    <w:rsid w:val="A7E93E34"/>
    <w:rsid w:val="AF3FE7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Office_12.1.2.22571_F1E327BC-269C-435d-A152-05C5408002CA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2026-09-09T14:45:00Z</dcterms:created>
  <dc:creator>user</dc:creator>
  <cp:lastModifiedBy>user</cp:lastModifiedBy>
  <dcterms:modified xsi:type="dcterms:W3CDTF">2026-09-11T12:00:28Z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2052-12.1.2.22571</vt:lpwstr>
  </property>
  <property fmtid="{D5CDD505-2E9C-101B-9397-08002B2CF9AE}" pid="3" name="ICV">
    <vt:lpwstr>6D51F0059FD265A7F3AE9F6AB6A088BF_41</vt:lpwstr>
  </property>
</Properties>
</file>