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211A3" w14:textId="77777777" w:rsidR="006362A7" w:rsidRDefault="006362A7">
      <w:pPr>
        <w:jc w:val="center"/>
        <w:rPr>
          <w:rFonts w:ascii="宋体" w:hAnsi="宋体"/>
        </w:rPr>
      </w:pPr>
    </w:p>
    <w:p w14:paraId="18EB587C" w14:textId="77777777" w:rsidR="006362A7" w:rsidRDefault="006362A7">
      <w:pPr>
        <w:jc w:val="center"/>
        <w:rPr>
          <w:rFonts w:ascii="宋体" w:hAnsi="宋体"/>
        </w:rPr>
      </w:pPr>
    </w:p>
    <w:p w14:paraId="17AE3E5B" w14:textId="77777777" w:rsidR="006362A7" w:rsidRDefault="006362A7">
      <w:pPr>
        <w:jc w:val="center"/>
        <w:rPr>
          <w:rFonts w:ascii="宋体" w:hAnsi="宋体"/>
        </w:rPr>
      </w:pPr>
    </w:p>
    <w:p w14:paraId="129AD59B" w14:textId="77777777" w:rsidR="006362A7" w:rsidRDefault="006362A7">
      <w:pPr>
        <w:jc w:val="center"/>
        <w:rPr>
          <w:rFonts w:ascii="宋体" w:hAnsi="宋体"/>
        </w:rPr>
      </w:pPr>
    </w:p>
    <w:p w14:paraId="59016167" w14:textId="77777777" w:rsidR="006362A7" w:rsidRDefault="006362A7">
      <w:pPr>
        <w:jc w:val="center"/>
        <w:rPr>
          <w:rFonts w:ascii="宋体" w:hAnsi="宋体"/>
        </w:rPr>
      </w:pPr>
    </w:p>
    <w:p w14:paraId="2502968E" w14:textId="77777777" w:rsidR="006362A7" w:rsidRDefault="006362A7">
      <w:pPr>
        <w:jc w:val="center"/>
        <w:rPr>
          <w:rFonts w:ascii="宋体" w:hAnsi="宋体"/>
        </w:rPr>
      </w:pPr>
    </w:p>
    <w:p w14:paraId="6F56978E" w14:textId="77777777" w:rsidR="006362A7" w:rsidRDefault="006362A7">
      <w:pPr>
        <w:jc w:val="center"/>
        <w:rPr>
          <w:rFonts w:ascii="宋体" w:hAnsi="宋体"/>
        </w:rPr>
      </w:pPr>
    </w:p>
    <w:p w14:paraId="680117D9" w14:textId="77777777" w:rsidR="006362A7" w:rsidRDefault="006362A7">
      <w:pPr>
        <w:jc w:val="center"/>
        <w:rPr>
          <w:rFonts w:ascii="宋体" w:hAnsi="宋体"/>
        </w:rPr>
      </w:pPr>
    </w:p>
    <w:p w14:paraId="0CFCC404" w14:textId="77777777" w:rsidR="006362A7" w:rsidRDefault="006362A7">
      <w:pPr>
        <w:jc w:val="center"/>
        <w:rPr>
          <w:rFonts w:ascii="宋体" w:hAnsi="宋体"/>
        </w:rPr>
      </w:pPr>
    </w:p>
    <w:p w14:paraId="57F87B4F" w14:textId="77777777" w:rsidR="006362A7" w:rsidRDefault="006362A7">
      <w:pPr>
        <w:rPr>
          <w:rFonts w:ascii="黑体" w:eastAsia="黑体" w:hAnsi="黑体" w:cs="黑体"/>
          <w:color w:val="000000"/>
          <w:sz w:val="52"/>
          <w:szCs w:val="52"/>
        </w:rPr>
      </w:pPr>
    </w:p>
    <w:p w14:paraId="729F65D4" w14:textId="77777777" w:rsidR="006362A7" w:rsidRDefault="006362A7">
      <w:pPr>
        <w:pStyle w:val="a0"/>
        <w:rPr>
          <w:rFonts w:ascii="黑体" w:eastAsia="黑体" w:hAnsi="黑体" w:cs="黑体"/>
          <w:color w:val="000000"/>
          <w:sz w:val="52"/>
          <w:szCs w:val="52"/>
        </w:rPr>
      </w:pPr>
    </w:p>
    <w:p w14:paraId="681277F0" w14:textId="77777777" w:rsidR="006362A7" w:rsidRDefault="00376903">
      <w:pPr>
        <w:jc w:val="center"/>
        <w:rPr>
          <w:rFonts w:ascii="方正小标宋简体" w:eastAsia="方正小标宋简体" w:hAnsi="方正小标宋简体" w:cs="方正小标宋简体"/>
          <w:color w:val="000000"/>
          <w:sz w:val="44"/>
          <w:szCs w:val="44"/>
        </w:rPr>
      </w:pPr>
      <w:bookmarkStart w:id="0" w:name="_Toc11215"/>
      <w:bookmarkStart w:id="1" w:name="_Toc32767"/>
      <w:bookmarkStart w:id="2" w:name="_Toc11388"/>
      <w:bookmarkStart w:id="3" w:name="_Toc32262"/>
      <w:bookmarkStart w:id="4" w:name="_Toc21117"/>
      <w:bookmarkStart w:id="5" w:name="_Toc11908"/>
      <w:bookmarkStart w:id="6" w:name="_Toc11430"/>
      <w:r>
        <w:rPr>
          <w:rFonts w:ascii="方正小标宋简体" w:eastAsia="方正小标宋简体" w:hAnsi="方正小标宋简体" w:cs="方正小标宋简体" w:hint="eastAsia"/>
          <w:color w:val="000000"/>
          <w:sz w:val="44"/>
          <w:szCs w:val="44"/>
        </w:rPr>
        <w:t>苏州市相城区教育事业</w:t>
      </w:r>
      <w:bookmarkStart w:id="7" w:name="_Toc1435"/>
      <w:bookmarkEnd w:id="0"/>
      <w:r>
        <w:rPr>
          <w:rFonts w:ascii="方正小标宋简体" w:eastAsia="方正小标宋简体" w:hAnsi="方正小标宋简体" w:cs="方正小标宋简体" w:hint="eastAsia"/>
          <w:color w:val="000000"/>
          <w:sz w:val="44"/>
          <w:szCs w:val="44"/>
        </w:rPr>
        <w:t>发展“十四五”</w:t>
      </w:r>
      <w:bookmarkStart w:id="8" w:name="_Toc1629"/>
      <w:bookmarkStart w:id="9" w:name="_Toc28505"/>
      <w:bookmarkStart w:id="10" w:name="_Toc22883"/>
      <w:bookmarkStart w:id="11" w:name="_Toc12309"/>
      <w:bookmarkEnd w:id="1"/>
      <w:bookmarkEnd w:id="2"/>
      <w:bookmarkEnd w:id="3"/>
      <w:r>
        <w:rPr>
          <w:rFonts w:ascii="方正小标宋简体" w:eastAsia="方正小标宋简体" w:hAnsi="方正小标宋简体" w:cs="方正小标宋简体" w:hint="eastAsia"/>
          <w:color w:val="000000"/>
          <w:sz w:val="44"/>
          <w:szCs w:val="44"/>
        </w:rPr>
        <w:t>规划</w:t>
      </w:r>
      <w:bookmarkEnd w:id="4"/>
      <w:bookmarkEnd w:id="5"/>
      <w:bookmarkEnd w:id="6"/>
      <w:bookmarkEnd w:id="7"/>
      <w:bookmarkEnd w:id="8"/>
      <w:bookmarkEnd w:id="9"/>
      <w:bookmarkEnd w:id="10"/>
      <w:bookmarkEnd w:id="11"/>
    </w:p>
    <w:p w14:paraId="27903131" w14:textId="77777777" w:rsidR="006362A7" w:rsidRDefault="006362A7">
      <w:pPr>
        <w:jc w:val="center"/>
        <w:rPr>
          <w:rFonts w:ascii="宋体" w:hAnsi="宋体"/>
        </w:rPr>
      </w:pPr>
    </w:p>
    <w:p w14:paraId="61BBFA11" w14:textId="77777777" w:rsidR="006362A7" w:rsidRDefault="006362A7">
      <w:pPr>
        <w:pStyle w:val="a0"/>
      </w:pPr>
    </w:p>
    <w:p w14:paraId="03755325" w14:textId="77777777" w:rsidR="006362A7" w:rsidRDefault="006362A7">
      <w:pPr>
        <w:jc w:val="center"/>
        <w:rPr>
          <w:rFonts w:ascii="宋体" w:hAnsi="宋体"/>
        </w:rPr>
      </w:pPr>
    </w:p>
    <w:p w14:paraId="4703544F" w14:textId="77777777" w:rsidR="006362A7" w:rsidRDefault="006362A7">
      <w:pPr>
        <w:jc w:val="center"/>
        <w:rPr>
          <w:rFonts w:ascii="宋体" w:hAnsi="宋体"/>
        </w:rPr>
      </w:pPr>
    </w:p>
    <w:p w14:paraId="65C6386F" w14:textId="77777777" w:rsidR="006362A7" w:rsidRDefault="006362A7">
      <w:pPr>
        <w:jc w:val="center"/>
        <w:rPr>
          <w:rFonts w:ascii="宋体" w:hAnsi="宋体"/>
        </w:rPr>
      </w:pPr>
    </w:p>
    <w:p w14:paraId="006FDD15" w14:textId="77777777" w:rsidR="006362A7" w:rsidRDefault="006362A7">
      <w:pPr>
        <w:jc w:val="center"/>
        <w:rPr>
          <w:rFonts w:ascii="宋体" w:hAnsi="宋体"/>
        </w:rPr>
      </w:pPr>
    </w:p>
    <w:p w14:paraId="5E81318A" w14:textId="77777777" w:rsidR="006362A7" w:rsidRDefault="006362A7">
      <w:pPr>
        <w:jc w:val="center"/>
        <w:rPr>
          <w:rFonts w:ascii="宋体" w:hAnsi="宋体"/>
        </w:rPr>
      </w:pPr>
    </w:p>
    <w:p w14:paraId="1D565CD8" w14:textId="77777777" w:rsidR="006362A7" w:rsidRDefault="006362A7">
      <w:pPr>
        <w:jc w:val="center"/>
        <w:rPr>
          <w:rFonts w:ascii="宋体" w:hAnsi="宋体"/>
        </w:rPr>
      </w:pPr>
    </w:p>
    <w:p w14:paraId="15348404" w14:textId="77777777" w:rsidR="006362A7" w:rsidRDefault="006362A7">
      <w:pPr>
        <w:jc w:val="center"/>
        <w:rPr>
          <w:rFonts w:ascii="宋体" w:hAnsi="宋体"/>
        </w:rPr>
      </w:pPr>
    </w:p>
    <w:p w14:paraId="1AB9541D" w14:textId="77777777" w:rsidR="006362A7" w:rsidRDefault="006362A7">
      <w:pPr>
        <w:jc w:val="center"/>
        <w:rPr>
          <w:rFonts w:ascii="宋体" w:hAnsi="宋体"/>
        </w:rPr>
      </w:pPr>
    </w:p>
    <w:p w14:paraId="52DC9B06" w14:textId="77777777" w:rsidR="006362A7" w:rsidRDefault="006362A7">
      <w:pPr>
        <w:jc w:val="center"/>
        <w:rPr>
          <w:rFonts w:ascii="宋体" w:hAnsi="宋体"/>
        </w:rPr>
      </w:pPr>
    </w:p>
    <w:p w14:paraId="743421BF" w14:textId="77777777" w:rsidR="006362A7" w:rsidRDefault="006362A7">
      <w:pPr>
        <w:jc w:val="center"/>
        <w:rPr>
          <w:rFonts w:ascii="宋体" w:hAnsi="宋体"/>
        </w:rPr>
      </w:pPr>
    </w:p>
    <w:p w14:paraId="0EFFA429" w14:textId="77777777" w:rsidR="006362A7" w:rsidRDefault="006362A7">
      <w:pPr>
        <w:jc w:val="center"/>
        <w:rPr>
          <w:rFonts w:ascii="宋体" w:hAnsi="宋体"/>
        </w:rPr>
      </w:pPr>
    </w:p>
    <w:p w14:paraId="00497178" w14:textId="77777777" w:rsidR="006362A7" w:rsidRDefault="006362A7">
      <w:pPr>
        <w:pStyle w:val="a0"/>
        <w:rPr>
          <w:rFonts w:ascii="宋体" w:hAnsi="宋体"/>
        </w:rPr>
      </w:pPr>
    </w:p>
    <w:p w14:paraId="1C92C164" w14:textId="77777777" w:rsidR="006362A7" w:rsidRDefault="006362A7">
      <w:pPr>
        <w:pStyle w:val="a0"/>
        <w:rPr>
          <w:rFonts w:ascii="宋体" w:hAnsi="宋体"/>
        </w:rPr>
      </w:pPr>
    </w:p>
    <w:p w14:paraId="4511E708" w14:textId="77777777" w:rsidR="006362A7" w:rsidRDefault="006362A7">
      <w:pPr>
        <w:pStyle w:val="a0"/>
        <w:rPr>
          <w:rFonts w:ascii="宋体" w:hAnsi="宋体"/>
        </w:rPr>
      </w:pPr>
    </w:p>
    <w:p w14:paraId="5AD8EDA1" w14:textId="77777777" w:rsidR="006362A7" w:rsidRDefault="006362A7">
      <w:pPr>
        <w:pStyle w:val="a0"/>
        <w:rPr>
          <w:rFonts w:ascii="宋体" w:hAnsi="宋体"/>
        </w:rPr>
      </w:pPr>
    </w:p>
    <w:p w14:paraId="4F211D84" w14:textId="77777777" w:rsidR="006362A7" w:rsidRDefault="006362A7">
      <w:pPr>
        <w:pStyle w:val="a0"/>
        <w:rPr>
          <w:rFonts w:ascii="宋体" w:hAnsi="宋体"/>
        </w:rPr>
      </w:pPr>
    </w:p>
    <w:p w14:paraId="44763D99" w14:textId="77777777" w:rsidR="006362A7" w:rsidRDefault="006362A7">
      <w:pPr>
        <w:pStyle w:val="a0"/>
        <w:rPr>
          <w:rFonts w:ascii="宋体" w:hAnsi="宋体"/>
        </w:rPr>
      </w:pPr>
    </w:p>
    <w:p w14:paraId="0725FEF6" w14:textId="77777777" w:rsidR="006362A7" w:rsidRDefault="006362A7">
      <w:pPr>
        <w:pStyle w:val="a0"/>
        <w:rPr>
          <w:rFonts w:ascii="宋体" w:hAnsi="宋体"/>
        </w:rPr>
      </w:pPr>
    </w:p>
    <w:p w14:paraId="57B2D7D1" w14:textId="77777777" w:rsidR="006362A7" w:rsidRDefault="006362A7">
      <w:pPr>
        <w:pStyle w:val="a0"/>
        <w:rPr>
          <w:rFonts w:ascii="宋体" w:hAnsi="宋体"/>
        </w:rPr>
      </w:pPr>
    </w:p>
    <w:p w14:paraId="030E4C77" w14:textId="77777777" w:rsidR="006362A7" w:rsidRDefault="006362A7">
      <w:pPr>
        <w:pStyle w:val="a0"/>
        <w:rPr>
          <w:rFonts w:ascii="宋体" w:hAnsi="宋体"/>
        </w:rPr>
      </w:pPr>
    </w:p>
    <w:p w14:paraId="5698150C" w14:textId="77777777" w:rsidR="006362A7" w:rsidRDefault="00376903">
      <w:pPr>
        <w:jc w:val="center"/>
        <w:rPr>
          <w:rFonts w:ascii="楷体" w:eastAsia="楷体" w:hAnsi="楷体" w:cs="楷体"/>
          <w:sz w:val="36"/>
          <w:szCs w:val="44"/>
        </w:rPr>
      </w:pPr>
      <w:r>
        <w:rPr>
          <w:rFonts w:ascii="楷体" w:eastAsia="楷体" w:hAnsi="楷体" w:cs="楷体" w:hint="eastAsia"/>
          <w:sz w:val="36"/>
          <w:szCs w:val="44"/>
        </w:rPr>
        <w:t>苏州市相城区教育局</w:t>
      </w:r>
    </w:p>
    <w:p w14:paraId="236C4076" w14:textId="77777777" w:rsidR="006362A7" w:rsidRDefault="00376903">
      <w:pPr>
        <w:jc w:val="center"/>
        <w:rPr>
          <w:rFonts w:ascii="楷体" w:eastAsia="楷体" w:hAnsi="楷体" w:cs="楷体"/>
          <w:sz w:val="36"/>
          <w:szCs w:val="44"/>
        </w:rPr>
      </w:pPr>
      <w:r>
        <w:rPr>
          <w:rFonts w:ascii="楷体" w:eastAsia="楷体" w:hAnsi="楷体" w:cs="楷体" w:hint="eastAsia"/>
          <w:sz w:val="36"/>
          <w:szCs w:val="44"/>
        </w:rPr>
        <w:t>2021年4月</w:t>
      </w:r>
    </w:p>
    <w:p w14:paraId="0AF1A3D8" w14:textId="77777777" w:rsidR="006362A7" w:rsidRDefault="006362A7">
      <w:pPr>
        <w:jc w:val="left"/>
        <w:rPr>
          <w:rFonts w:ascii="宋体" w:hAnsi="宋体"/>
        </w:rPr>
        <w:sectPr w:rsidR="006362A7">
          <w:pgSz w:w="11906" w:h="16838"/>
          <w:pgMar w:top="1440" w:right="1800" w:bottom="1440" w:left="1800" w:header="851" w:footer="992" w:gutter="0"/>
          <w:cols w:space="720"/>
          <w:docGrid w:type="lines" w:linePitch="312"/>
        </w:sectPr>
      </w:pPr>
    </w:p>
    <w:p w14:paraId="7327590D" w14:textId="77777777" w:rsidR="006362A7" w:rsidRDefault="00376903">
      <w:pPr>
        <w:jc w:val="center"/>
      </w:pPr>
      <w:r>
        <w:rPr>
          <w:rFonts w:ascii="黑体" w:eastAsia="黑体" w:hAnsi="黑体" w:cs="黑体" w:hint="eastAsia"/>
          <w:sz w:val="44"/>
          <w:szCs w:val="44"/>
        </w:rPr>
        <w:lastRenderedPageBreak/>
        <w:t>目录</w:t>
      </w:r>
    </w:p>
    <w:sdt>
      <w:sdtPr>
        <w:rPr>
          <w:rFonts w:ascii="宋体" w:hAnsi="宋体"/>
          <w:sz w:val="18"/>
        </w:rPr>
        <w:id w:val="147480989"/>
        <w:docPartObj>
          <w:docPartGallery w:val="Table of Contents"/>
          <w:docPartUnique/>
        </w:docPartObj>
      </w:sdtPr>
      <w:sdtEndPr>
        <w:rPr>
          <w:rFonts w:ascii="Calibri" w:hAnsi="Calibri"/>
        </w:rPr>
      </w:sdtEndPr>
      <w:sdtContent>
        <w:p w14:paraId="479041C8" w14:textId="77777777" w:rsidR="006362A7" w:rsidRDefault="006362A7">
          <w:pPr>
            <w:jc w:val="center"/>
          </w:pPr>
        </w:p>
        <w:p w14:paraId="04386B74" w14:textId="77777777" w:rsidR="006362A7" w:rsidRDefault="00376903">
          <w:pPr>
            <w:pStyle w:val="1"/>
            <w:tabs>
              <w:tab w:val="right" w:leader="dot" w:pos="8306"/>
            </w:tabs>
            <w:spacing w:line="420" w:lineRule="exact"/>
          </w:pPr>
          <w:r>
            <w:fldChar w:fldCharType="begin"/>
          </w:r>
          <w:r>
            <w:instrText xml:space="preserve">TOC \o "1-3" \h \u </w:instrText>
          </w:r>
          <w:r>
            <w:fldChar w:fldCharType="separate"/>
          </w:r>
          <w:hyperlink w:anchor="_Toc25019" w:history="1">
            <w:r>
              <w:rPr>
                <w:rFonts w:ascii="黑体" w:eastAsia="黑体" w:hAnsi="黑体" w:cs="黑体" w:hint="eastAsia"/>
                <w:szCs w:val="32"/>
              </w:rPr>
              <w:t>一、</w:t>
            </w:r>
            <w:r>
              <w:rPr>
                <w:rFonts w:ascii="黑体" w:eastAsia="黑体" w:hAnsi="黑体" w:cs="黑体" w:hint="eastAsia"/>
                <w:sz w:val="24"/>
              </w:rPr>
              <w:t>“十三五”教育事业发展回顾</w:t>
            </w:r>
            <w:r>
              <w:rPr>
                <w:sz w:val="24"/>
              </w:rPr>
              <w:tab/>
            </w:r>
            <w:r>
              <w:rPr>
                <w:rFonts w:ascii="黑体" w:eastAsia="黑体" w:hAnsi="黑体" w:cs="黑体" w:hint="eastAsia"/>
                <w:sz w:val="24"/>
              </w:rPr>
              <w:fldChar w:fldCharType="begin"/>
            </w:r>
            <w:r>
              <w:rPr>
                <w:rFonts w:ascii="黑体" w:eastAsia="黑体" w:hAnsi="黑体" w:cs="黑体" w:hint="eastAsia"/>
                <w:sz w:val="24"/>
              </w:rPr>
              <w:instrText xml:space="preserve"> PAGEREF _Toc25019 </w:instrText>
            </w:r>
            <w:r>
              <w:rPr>
                <w:rFonts w:ascii="黑体" w:eastAsia="黑体" w:hAnsi="黑体" w:cs="黑体" w:hint="eastAsia"/>
                <w:sz w:val="24"/>
              </w:rPr>
              <w:fldChar w:fldCharType="separate"/>
            </w:r>
            <w:r>
              <w:rPr>
                <w:rFonts w:ascii="黑体" w:eastAsia="黑体" w:hAnsi="黑体" w:cs="黑体" w:hint="eastAsia"/>
                <w:sz w:val="24"/>
              </w:rPr>
              <w:t>1</w:t>
            </w:r>
            <w:r>
              <w:rPr>
                <w:rFonts w:ascii="黑体" w:eastAsia="黑体" w:hAnsi="黑体" w:cs="黑体" w:hint="eastAsia"/>
                <w:sz w:val="24"/>
              </w:rPr>
              <w:fldChar w:fldCharType="end"/>
            </w:r>
          </w:hyperlink>
        </w:p>
        <w:p w14:paraId="037EF3CC" w14:textId="77777777" w:rsidR="006362A7" w:rsidRDefault="00E11AB7">
          <w:pPr>
            <w:pStyle w:val="2"/>
            <w:tabs>
              <w:tab w:val="right" w:leader="dot" w:pos="8306"/>
            </w:tabs>
            <w:spacing w:line="420" w:lineRule="exact"/>
            <w:rPr>
              <w:rFonts w:ascii="楷体" w:eastAsia="楷体" w:hAnsi="楷体" w:cs="楷体"/>
              <w:sz w:val="24"/>
              <w:szCs w:val="32"/>
            </w:rPr>
          </w:pPr>
          <w:hyperlink w:anchor="_Toc7523" w:history="1">
            <w:r w:rsidR="00376903">
              <w:rPr>
                <w:rFonts w:ascii="楷体" w:eastAsia="楷体" w:hAnsi="楷体" w:cs="楷体" w:hint="eastAsia"/>
                <w:sz w:val="24"/>
                <w:szCs w:val="40"/>
              </w:rPr>
              <w:t>（一）主要成就</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_Toc7523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w:t>
            </w:r>
            <w:r w:rsidR="00376903">
              <w:rPr>
                <w:rFonts w:ascii="楷体" w:eastAsia="楷体" w:hAnsi="楷体" w:cs="楷体" w:hint="eastAsia"/>
                <w:sz w:val="24"/>
                <w:szCs w:val="32"/>
              </w:rPr>
              <w:fldChar w:fldCharType="end"/>
            </w:r>
          </w:hyperlink>
        </w:p>
        <w:p w14:paraId="385B847E" w14:textId="77777777" w:rsidR="006362A7" w:rsidRDefault="00E11AB7">
          <w:pPr>
            <w:pStyle w:val="2"/>
            <w:tabs>
              <w:tab w:val="right" w:leader="dot" w:pos="8306"/>
            </w:tabs>
            <w:spacing w:line="420" w:lineRule="exact"/>
          </w:pPr>
          <w:hyperlink w:anchor="_Toc20820" w:history="1">
            <w:r w:rsidR="00376903">
              <w:rPr>
                <w:rFonts w:ascii="楷体" w:eastAsia="楷体" w:hAnsi="楷体" w:cs="楷体" w:hint="eastAsia"/>
                <w:sz w:val="24"/>
                <w:szCs w:val="40"/>
              </w:rPr>
              <w:t>（二）主要问题</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_Toc20820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3</w:t>
            </w:r>
            <w:r w:rsidR="00376903">
              <w:rPr>
                <w:rFonts w:ascii="楷体" w:eastAsia="楷体" w:hAnsi="楷体" w:cs="楷体" w:hint="eastAsia"/>
                <w:sz w:val="24"/>
                <w:szCs w:val="32"/>
              </w:rPr>
              <w:fldChar w:fldCharType="end"/>
            </w:r>
          </w:hyperlink>
        </w:p>
        <w:p w14:paraId="29F6B622" w14:textId="77777777" w:rsidR="006362A7" w:rsidRDefault="00E11AB7">
          <w:pPr>
            <w:pStyle w:val="1"/>
            <w:tabs>
              <w:tab w:val="right" w:leader="dot" w:pos="8306"/>
            </w:tabs>
            <w:spacing w:line="420" w:lineRule="exact"/>
          </w:pPr>
          <w:hyperlink w:anchor="_Toc25139" w:history="1">
            <w:r w:rsidR="00376903">
              <w:rPr>
                <w:rFonts w:ascii="黑体" w:eastAsia="黑体" w:hAnsi="黑体" w:cs="黑体" w:hint="eastAsia"/>
                <w:szCs w:val="32"/>
              </w:rPr>
              <w:t>二、</w:t>
            </w:r>
            <w:r w:rsidR="00376903">
              <w:rPr>
                <w:rStyle w:val="2Char1"/>
                <w:rFonts w:hint="eastAsia"/>
              </w:rPr>
              <w:t>“十四五”教育事业发展总体战略</w:t>
            </w:r>
            <w:r w:rsidR="00376903">
              <w:tab/>
            </w:r>
            <w:r w:rsidR="00376903">
              <w:rPr>
                <w:rFonts w:ascii="黑体" w:eastAsia="黑体" w:hAnsi="黑体" w:cs="黑体" w:hint="eastAsia"/>
                <w:sz w:val="24"/>
              </w:rPr>
              <w:fldChar w:fldCharType="begin"/>
            </w:r>
            <w:r w:rsidR="00376903">
              <w:rPr>
                <w:rFonts w:ascii="黑体" w:eastAsia="黑体" w:hAnsi="黑体" w:cs="黑体" w:hint="eastAsia"/>
                <w:sz w:val="24"/>
              </w:rPr>
              <w:instrText xml:space="preserve"> PAGEREF _Toc25139 </w:instrText>
            </w:r>
            <w:r w:rsidR="00376903">
              <w:rPr>
                <w:rFonts w:ascii="黑体" w:eastAsia="黑体" w:hAnsi="黑体" w:cs="黑体" w:hint="eastAsia"/>
                <w:sz w:val="24"/>
              </w:rPr>
              <w:fldChar w:fldCharType="separate"/>
            </w:r>
            <w:r w:rsidR="00376903">
              <w:rPr>
                <w:rFonts w:ascii="黑体" w:eastAsia="黑体" w:hAnsi="黑体" w:cs="黑体" w:hint="eastAsia"/>
                <w:sz w:val="24"/>
              </w:rPr>
              <w:t>4</w:t>
            </w:r>
            <w:r w:rsidR="00376903">
              <w:rPr>
                <w:rFonts w:ascii="黑体" w:eastAsia="黑体" w:hAnsi="黑体" w:cs="黑体" w:hint="eastAsia"/>
                <w:sz w:val="24"/>
              </w:rPr>
              <w:fldChar w:fldCharType="end"/>
            </w:r>
          </w:hyperlink>
        </w:p>
        <w:p w14:paraId="78B60074" w14:textId="77777777" w:rsidR="006362A7" w:rsidRDefault="00E11AB7">
          <w:pPr>
            <w:pStyle w:val="2"/>
            <w:tabs>
              <w:tab w:val="right" w:leader="dot" w:pos="8306"/>
            </w:tabs>
            <w:spacing w:line="420" w:lineRule="exact"/>
            <w:rPr>
              <w:rFonts w:ascii="楷体" w:eastAsia="楷体" w:hAnsi="楷体" w:cs="楷体"/>
              <w:sz w:val="24"/>
              <w:szCs w:val="32"/>
            </w:rPr>
          </w:pPr>
          <w:hyperlink w:anchor="_Toc17709" w:history="1">
            <w:r w:rsidR="00376903">
              <w:rPr>
                <w:rFonts w:ascii="楷体" w:eastAsia="楷体" w:hAnsi="楷体" w:cs="楷体" w:hint="eastAsia"/>
                <w:sz w:val="24"/>
                <w:szCs w:val="40"/>
              </w:rPr>
              <w:t>（一）形势分析</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_Toc17709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4</w:t>
            </w:r>
            <w:r w:rsidR="00376903">
              <w:rPr>
                <w:rFonts w:ascii="楷体" w:eastAsia="楷体" w:hAnsi="楷体" w:cs="楷体" w:hint="eastAsia"/>
                <w:sz w:val="24"/>
                <w:szCs w:val="32"/>
              </w:rPr>
              <w:fldChar w:fldCharType="end"/>
            </w:r>
          </w:hyperlink>
        </w:p>
        <w:p w14:paraId="793C54A1" w14:textId="77777777" w:rsidR="006362A7" w:rsidRDefault="00E11AB7">
          <w:pPr>
            <w:pStyle w:val="2"/>
            <w:tabs>
              <w:tab w:val="right" w:leader="dot" w:pos="8306"/>
            </w:tabs>
            <w:spacing w:line="420" w:lineRule="exact"/>
            <w:rPr>
              <w:rFonts w:ascii="楷体" w:eastAsia="楷体" w:hAnsi="楷体" w:cs="楷体"/>
              <w:sz w:val="24"/>
              <w:szCs w:val="32"/>
            </w:rPr>
          </w:pPr>
          <w:hyperlink w:anchor="_Toc18542" w:history="1">
            <w:r w:rsidR="00376903">
              <w:rPr>
                <w:rFonts w:ascii="楷体" w:eastAsia="楷体" w:hAnsi="楷体" w:cs="楷体" w:hint="eastAsia"/>
                <w:sz w:val="24"/>
                <w:szCs w:val="40"/>
              </w:rPr>
              <w:t>（二）指导思想</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_Toc18542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6</w:t>
            </w:r>
            <w:r w:rsidR="00376903">
              <w:rPr>
                <w:rFonts w:ascii="楷体" w:eastAsia="楷体" w:hAnsi="楷体" w:cs="楷体" w:hint="eastAsia"/>
                <w:sz w:val="24"/>
                <w:szCs w:val="32"/>
              </w:rPr>
              <w:fldChar w:fldCharType="end"/>
            </w:r>
          </w:hyperlink>
        </w:p>
        <w:p w14:paraId="1A87934F" w14:textId="77777777" w:rsidR="006362A7" w:rsidRDefault="00E11AB7">
          <w:pPr>
            <w:pStyle w:val="2"/>
            <w:tabs>
              <w:tab w:val="right" w:leader="dot" w:pos="8306"/>
            </w:tabs>
            <w:spacing w:line="420" w:lineRule="exact"/>
            <w:rPr>
              <w:rFonts w:ascii="楷体" w:eastAsia="楷体" w:hAnsi="楷体" w:cs="楷体"/>
              <w:sz w:val="24"/>
              <w:szCs w:val="32"/>
            </w:rPr>
          </w:pPr>
          <w:hyperlink w:anchor="_Toc13141" w:history="1">
            <w:r w:rsidR="00376903">
              <w:rPr>
                <w:rFonts w:ascii="楷体" w:eastAsia="楷体" w:hAnsi="楷体" w:cs="楷体" w:hint="eastAsia"/>
                <w:sz w:val="24"/>
                <w:szCs w:val="40"/>
              </w:rPr>
              <w:t>（三）基本原则</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_Toc13141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6</w:t>
            </w:r>
            <w:r w:rsidR="00376903">
              <w:rPr>
                <w:rFonts w:ascii="楷体" w:eastAsia="楷体" w:hAnsi="楷体" w:cs="楷体" w:hint="eastAsia"/>
                <w:sz w:val="24"/>
                <w:szCs w:val="32"/>
              </w:rPr>
              <w:fldChar w:fldCharType="end"/>
            </w:r>
          </w:hyperlink>
        </w:p>
        <w:p w14:paraId="5E2B0A0D" w14:textId="77777777" w:rsidR="006362A7" w:rsidRDefault="00E11AB7">
          <w:pPr>
            <w:pStyle w:val="2"/>
            <w:tabs>
              <w:tab w:val="right" w:leader="dot" w:pos="8306"/>
            </w:tabs>
            <w:spacing w:line="420" w:lineRule="exact"/>
          </w:pPr>
          <w:hyperlink w:anchor="_Toc26896" w:history="1">
            <w:r w:rsidR="00376903">
              <w:rPr>
                <w:rFonts w:ascii="楷体" w:eastAsia="楷体" w:hAnsi="楷体" w:cs="楷体" w:hint="eastAsia"/>
                <w:sz w:val="24"/>
                <w:szCs w:val="40"/>
              </w:rPr>
              <w:t>（四）发展目标</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_Toc26896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7</w:t>
            </w:r>
            <w:r w:rsidR="00376903">
              <w:rPr>
                <w:rFonts w:ascii="楷体" w:eastAsia="楷体" w:hAnsi="楷体" w:cs="楷体" w:hint="eastAsia"/>
                <w:sz w:val="24"/>
                <w:szCs w:val="32"/>
              </w:rPr>
              <w:fldChar w:fldCharType="end"/>
            </w:r>
          </w:hyperlink>
        </w:p>
        <w:p w14:paraId="342D7216" w14:textId="77777777" w:rsidR="006362A7" w:rsidRDefault="00E11AB7">
          <w:pPr>
            <w:pStyle w:val="1"/>
            <w:tabs>
              <w:tab w:val="right" w:leader="dot" w:pos="8306"/>
            </w:tabs>
            <w:spacing w:line="420" w:lineRule="exact"/>
          </w:pPr>
          <w:hyperlink w:anchor="_Toc10043" w:history="1">
            <w:r w:rsidR="00376903">
              <w:rPr>
                <w:rFonts w:ascii="黑体" w:eastAsia="黑体" w:hAnsi="黑体" w:cs="黑体" w:hint="eastAsia"/>
                <w:szCs w:val="32"/>
              </w:rPr>
              <w:t>三、</w:t>
            </w:r>
            <w:r w:rsidR="00376903">
              <w:rPr>
                <w:rStyle w:val="2Char1"/>
                <w:rFonts w:hint="eastAsia"/>
              </w:rPr>
              <w:t>“十四五”教育事业发展主要任务</w:t>
            </w:r>
            <w:r w:rsidR="00376903">
              <w:tab/>
            </w:r>
            <w:r w:rsidR="00376903">
              <w:rPr>
                <w:rFonts w:ascii="黑体" w:eastAsia="黑体" w:hAnsi="黑体" w:cs="黑体" w:hint="eastAsia"/>
                <w:sz w:val="24"/>
              </w:rPr>
              <w:fldChar w:fldCharType="begin"/>
            </w:r>
            <w:r w:rsidR="00376903">
              <w:rPr>
                <w:rFonts w:ascii="黑体" w:eastAsia="黑体" w:hAnsi="黑体" w:cs="黑体" w:hint="eastAsia"/>
                <w:sz w:val="24"/>
              </w:rPr>
              <w:instrText xml:space="preserve"> PAGEREF _Toc10043 </w:instrText>
            </w:r>
            <w:r w:rsidR="00376903">
              <w:rPr>
                <w:rFonts w:ascii="黑体" w:eastAsia="黑体" w:hAnsi="黑体" w:cs="黑体" w:hint="eastAsia"/>
                <w:sz w:val="24"/>
              </w:rPr>
              <w:fldChar w:fldCharType="separate"/>
            </w:r>
            <w:r w:rsidR="00376903">
              <w:rPr>
                <w:rFonts w:ascii="黑体" w:eastAsia="黑体" w:hAnsi="黑体" w:cs="黑体" w:hint="eastAsia"/>
                <w:sz w:val="24"/>
              </w:rPr>
              <w:t>9</w:t>
            </w:r>
            <w:r w:rsidR="00376903">
              <w:rPr>
                <w:rFonts w:ascii="黑体" w:eastAsia="黑体" w:hAnsi="黑体" w:cs="黑体" w:hint="eastAsia"/>
                <w:sz w:val="24"/>
              </w:rPr>
              <w:fldChar w:fldCharType="end"/>
            </w:r>
          </w:hyperlink>
        </w:p>
        <w:p w14:paraId="4E7E75E8" w14:textId="77777777" w:rsidR="006362A7" w:rsidRDefault="00E11AB7">
          <w:pPr>
            <w:pStyle w:val="2"/>
            <w:tabs>
              <w:tab w:val="right" w:leader="dot" w:pos="8306"/>
            </w:tabs>
            <w:spacing w:line="420" w:lineRule="exact"/>
            <w:rPr>
              <w:rFonts w:ascii="楷体" w:eastAsia="楷体" w:hAnsi="楷体" w:cs="楷体"/>
              <w:sz w:val="24"/>
            </w:rPr>
          </w:pPr>
          <w:hyperlink w:anchor="_Toc18066" w:history="1">
            <w:r w:rsidR="00376903">
              <w:rPr>
                <w:rFonts w:ascii="楷体" w:eastAsia="楷体" w:hAnsi="楷体" w:cs="楷体" w:hint="eastAsia"/>
                <w:sz w:val="24"/>
              </w:rPr>
              <w:t>（一）学前教育优质普惠发展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_Toc18066 </w:instrText>
            </w:r>
            <w:r w:rsidR="00376903">
              <w:rPr>
                <w:rFonts w:ascii="楷体" w:eastAsia="楷体" w:hAnsi="楷体" w:cs="楷体" w:hint="eastAsia"/>
                <w:sz w:val="24"/>
              </w:rPr>
              <w:fldChar w:fldCharType="separate"/>
            </w:r>
            <w:r w:rsidR="00376903">
              <w:rPr>
                <w:rFonts w:ascii="楷体" w:eastAsia="楷体" w:hAnsi="楷体" w:cs="楷体" w:hint="eastAsia"/>
                <w:sz w:val="24"/>
              </w:rPr>
              <w:t>9</w:t>
            </w:r>
            <w:r w:rsidR="00376903">
              <w:rPr>
                <w:rFonts w:ascii="楷体" w:eastAsia="楷体" w:hAnsi="楷体" w:cs="楷体" w:hint="eastAsia"/>
                <w:sz w:val="24"/>
              </w:rPr>
              <w:fldChar w:fldCharType="end"/>
            </w:r>
          </w:hyperlink>
        </w:p>
        <w:p w14:paraId="647E1CCC" w14:textId="77777777" w:rsidR="006362A7" w:rsidRDefault="00E11AB7">
          <w:pPr>
            <w:pStyle w:val="2"/>
            <w:tabs>
              <w:tab w:val="right" w:leader="dot" w:pos="8306"/>
            </w:tabs>
            <w:spacing w:line="420" w:lineRule="exact"/>
            <w:rPr>
              <w:rFonts w:ascii="楷体" w:eastAsia="楷体" w:hAnsi="楷体" w:cs="楷体"/>
              <w:sz w:val="24"/>
            </w:rPr>
          </w:pPr>
          <w:hyperlink w:anchor="_Toc13109" w:history="1">
            <w:r w:rsidR="00376903">
              <w:rPr>
                <w:rFonts w:ascii="楷体" w:eastAsia="楷体" w:hAnsi="楷体" w:cs="楷体" w:hint="eastAsia"/>
                <w:sz w:val="24"/>
              </w:rPr>
              <w:t>（二）义务教育优质均衡发展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_Toc13109 </w:instrText>
            </w:r>
            <w:r w:rsidR="00376903">
              <w:rPr>
                <w:rFonts w:ascii="楷体" w:eastAsia="楷体" w:hAnsi="楷体" w:cs="楷体" w:hint="eastAsia"/>
                <w:sz w:val="24"/>
              </w:rPr>
              <w:fldChar w:fldCharType="separate"/>
            </w:r>
            <w:r w:rsidR="00376903">
              <w:rPr>
                <w:rFonts w:ascii="楷体" w:eastAsia="楷体" w:hAnsi="楷体" w:cs="楷体" w:hint="eastAsia"/>
                <w:sz w:val="24"/>
              </w:rPr>
              <w:t>9</w:t>
            </w:r>
            <w:r w:rsidR="00376903">
              <w:rPr>
                <w:rFonts w:ascii="楷体" w:eastAsia="楷体" w:hAnsi="楷体" w:cs="楷体" w:hint="eastAsia"/>
                <w:sz w:val="24"/>
              </w:rPr>
              <w:fldChar w:fldCharType="end"/>
            </w:r>
          </w:hyperlink>
        </w:p>
        <w:p w14:paraId="55239DF1" w14:textId="77777777" w:rsidR="006362A7" w:rsidRDefault="00E11AB7">
          <w:pPr>
            <w:pStyle w:val="2"/>
            <w:tabs>
              <w:tab w:val="right" w:leader="dot" w:pos="8306"/>
            </w:tabs>
            <w:spacing w:line="420" w:lineRule="exact"/>
            <w:rPr>
              <w:rFonts w:ascii="楷体" w:eastAsia="楷体" w:hAnsi="楷体" w:cs="楷体"/>
              <w:sz w:val="24"/>
            </w:rPr>
          </w:pPr>
          <w:hyperlink w:anchor="_Toc17608" w:history="1">
            <w:r w:rsidR="00376903">
              <w:rPr>
                <w:rFonts w:ascii="楷体" w:eastAsia="楷体" w:hAnsi="楷体" w:cs="楷体" w:hint="eastAsia"/>
                <w:sz w:val="24"/>
              </w:rPr>
              <w:t>（三）高中教育特色多样化发展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_Toc17608 </w:instrText>
            </w:r>
            <w:r w:rsidR="00376903">
              <w:rPr>
                <w:rFonts w:ascii="楷体" w:eastAsia="楷体" w:hAnsi="楷体" w:cs="楷体" w:hint="eastAsia"/>
                <w:sz w:val="24"/>
              </w:rPr>
              <w:fldChar w:fldCharType="separate"/>
            </w:r>
            <w:r w:rsidR="00376903">
              <w:rPr>
                <w:rFonts w:ascii="楷体" w:eastAsia="楷体" w:hAnsi="楷体" w:cs="楷体" w:hint="eastAsia"/>
                <w:sz w:val="24"/>
              </w:rPr>
              <w:t>10</w:t>
            </w:r>
            <w:r w:rsidR="00376903">
              <w:rPr>
                <w:rFonts w:ascii="楷体" w:eastAsia="楷体" w:hAnsi="楷体" w:cs="楷体" w:hint="eastAsia"/>
                <w:sz w:val="24"/>
              </w:rPr>
              <w:fldChar w:fldCharType="end"/>
            </w:r>
          </w:hyperlink>
        </w:p>
        <w:p w14:paraId="526F0C9A" w14:textId="77777777" w:rsidR="006362A7" w:rsidRDefault="00E11AB7">
          <w:pPr>
            <w:pStyle w:val="2"/>
            <w:tabs>
              <w:tab w:val="right" w:leader="dot" w:pos="8306"/>
            </w:tabs>
            <w:spacing w:line="420" w:lineRule="exact"/>
            <w:rPr>
              <w:rFonts w:ascii="楷体" w:eastAsia="楷体" w:hAnsi="楷体" w:cs="楷体"/>
              <w:sz w:val="24"/>
            </w:rPr>
          </w:pPr>
          <w:hyperlink w:anchor="_Toc9038" w:history="1">
            <w:r w:rsidR="00376903">
              <w:rPr>
                <w:rFonts w:ascii="楷体" w:eastAsia="楷体" w:hAnsi="楷体" w:cs="楷体" w:hint="eastAsia"/>
                <w:sz w:val="24"/>
              </w:rPr>
              <w:t>（四）职业教育产教融合发展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_Toc9038 </w:instrText>
            </w:r>
            <w:r w:rsidR="00376903">
              <w:rPr>
                <w:rFonts w:ascii="楷体" w:eastAsia="楷体" w:hAnsi="楷体" w:cs="楷体" w:hint="eastAsia"/>
                <w:sz w:val="24"/>
              </w:rPr>
              <w:fldChar w:fldCharType="separate"/>
            </w:r>
            <w:r w:rsidR="00376903">
              <w:rPr>
                <w:rFonts w:ascii="楷体" w:eastAsia="楷体" w:hAnsi="楷体" w:cs="楷体" w:hint="eastAsia"/>
                <w:sz w:val="24"/>
              </w:rPr>
              <w:t>10</w:t>
            </w:r>
            <w:r w:rsidR="00376903">
              <w:rPr>
                <w:rFonts w:ascii="楷体" w:eastAsia="楷体" w:hAnsi="楷体" w:cs="楷体" w:hint="eastAsia"/>
                <w:sz w:val="24"/>
              </w:rPr>
              <w:fldChar w:fldCharType="end"/>
            </w:r>
          </w:hyperlink>
        </w:p>
        <w:p w14:paraId="094358EC" w14:textId="77777777" w:rsidR="006362A7" w:rsidRDefault="00E11AB7">
          <w:pPr>
            <w:pStyle w:val="2"/>
            <w:tabs>
              <w:tab w:val="right" w:leader="dot" w:pos="8306"/>
            </w:tabs>
            <w:spacing w:line="420" w:lineRule="exact"/>
            <w:rPr>
              <w:rFonts w:ascii="楷体" w:eastAsia="楷体" w:hAnsi="楷体" w:cs="楷体"/>
              <w:sz w:val="24"/>
            </w:rPr>
          </w:pPr>
          <w:hyperlink w:anchor="_Toc16621" w:history="1">
            <w:r w:rsidR="00376903">
              <w:rPr>
                <w:rFonts w:ascii="楷体" w:eastAsia="楷体" w:hAnsi="楷体" w:cs="楷体" w:hint="eastAsia"/>
                <w:sz w:val="24"/>
              </w:rPr>
              <w:t>（五）高等教育协作提升发展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_Toc16621 </w:instrText>
            </w:r>
            <w:r w:rsidR="00376903">
              <w:rPr>
                <w:rFonts w:ascii="楷体" w:eastAsia="楷体" w:hAnsi="楷体" w:cs="楷体" w:hint="eastAsia"/>
                <w:sz w:val="24"/>
              </w:rPr>
              <w:fldChar w:fldCharType="separate"/>
            </w:r>
            <w:r w:rsidR="00376903">
              <w:rPr>
                <w:rFonts w:ascii="楷体" w:eastAsia="楷体" w:hAnsi="楷体" w:cs="楷体" w:hint="eastAsia"/>
                <w:sz w:val="24"/>
              </w:rPr>
              <w:t>11</w:t>
            </w:r>
            <w:r w:rsidR="00376903">
              <w:rPr>
                <w:rFonts w:ascii="楷体" w:eastAsia="楷体" w:hAnsi="楷体" w:cs="楷体" w:hint="eastAsia"/>
                <w:sz w:val="24"/>
              </w:rPr>
              <w:fldChar w:fldCharType="end"/>
            </w:r>
          </w:hyperlink>
        </w:p>
        <w:p w14:paraId="77B71B91" w14:textId="77777777" w:rsidR="006362A7" w:rsidRDefault="00E11AB7">
          <w:pPr>
            <w:pStyle w:val="2"/>
            <w:tabs>
              <w:tab w:val="right" w:leader="dot" w:pos="8306"/>
            </w:tabs>
            <w:spacing w:line="420" w:lineRule="exact"/>
            <w:rPr>
              <w:rFonts w:ascii="楷体" w:eastAsia="楷体" w:hAnsi="楷体" w:cs="楷体"/>
              <w:sz w:val="24"/>
            </w:rPr>
          </w:pPr>
          <w:hyperlink w:anchor="_Toc9135" w:history="1">
            <w:r w:rsidR="00376903">
              <w:rPr>
                <w:rFonts w:ascii="楷体" w:eastAsia="楷体" w:hAnsi="楷体" w:cs="楷体" w:hint="eastAsia"/>
                <w:sz w:val="24"/>
              </w:rPr>
              <w:t>（六）民办教育开放多元发展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_Toc9135 </w:instrText>
            </w:r>
            <w:r w:rsidR="00376903">
              <w:rPr>
                <w:rFonts w:ascii="楷体" w:eastAsia="楷体" w:hAnsi="楷体" w:cs="楷体" w:hint="eastAsia"/>
                <w:sz w:val="24"/>
              </w:rPr>
              <w:fldChar w:fldCharType="separate"/>
            </w:r>
            <w:r w:rsidR="00376903">
              <w:rPr>
                <w:rFonts w:ascii="楷体" w:eastAsia="楷体" w:hAnsi="楷体" w:cs="楷体" w:hint="eastAsia"/>
                <w:sz w:val="24"/>
              </w:rPr>
              <w:t>11</w:t>
            </w:r>
            <w:r w:rsidR="00376903">
              <w:rPr>
                <w:rFonts w:ascii="楷体" w:eastAsia="楷体" w:hAnsi="楷体" w:cs="楷体" w:hint="eastAsia"/>
                <w:sz w:val="24"/>
              </w:rPr>
              <w:fldChar w:fldCharType="end"/>
            </w:r>
          </w:hyperlink>
        </w:p>
        <w:p w14:paraId="46A96E9B" w14:textId="77777777" w:rsidR="006362A7" w:rsidRDefault="00E11AB7">
          <w:pPr>
            <w:pStyle w:val="2"/>
            <w:tabs>
              <w:tab w:val="right" w:leader="dot" w:pos="8306"/>
            </w:tabs>
            <w:spacing w:line="420" w:lineRule="exact"/>
            <w:rPr>
              <w:rFonts w:ascii="楷体" w:eastAsia="楷体" w:hAnsi="楷体" w:cs="楷体"/>
              <w:sz w:val="24"/>
            </w:rPr>
          </w:pPr>
          <w:hyperlink w:anchor="_Toc21241" w:history="1">
            <w:r w:rsidR="00376903">
              <w:rPr>
                <w:rFonts w:ascii="楷体" w:eastAsia="楷体" w:hAnsi="楷体" w:cs="楷体" w:hint="eastAsia"/>
                <w:sz w:val="24"/>
              </w:rPr>
              <w:t>（七）特殊教育优质融合发展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_Toc21241 </w:instrText>
            </w:r>
            <w:r w:rsidR="00376903">
              <w:rPr>
                <w:rFonts w:ascii="楷体" w:eastAsia="楷体" w:hAnsi="楷体" w:cs="楷体" w:hint="eastAsia"/>
                <w:sz w:val="24"/>
              </w:rPr>
              <w:fldChar w:fldCharType="separate"/>
            </w:r>
            <w:r w:rsidR="00376903">
              <w:rPr>
                <w:rFonts w:ascii="楷体" w:eastAsia="楷体" w:hAnsi="楷体" w:cs="楷体" w:hint="eastAsia"/>
                <w:sz w:val="24"/>
              </w:rPr>
              <w:t>12</w:t>
            </w:r>
            <w:r w:rsidR="00376903">
              <w:rPr>
                <w:rFonts w:ascii="楷体" w:eastAsia="楷体" w:hAnsi="楷体" w:cs="楷体" w:hint="eastAsia"/>
                <w:sz w:val="24"/>
              </w:rPr>
              <w:fldChar w:fldCharType="end"/>
            </w:r>
          </w:hyperlink>
        </w:p>
        <w:p w14:paraId="6D04FD8F" w14:textId="77777777" w:rsidR="006362A7" w:rsidRDefault="00E11AB7">
          <w:pPr>
            <w:pStyle w:val="2"/>
            <w:tabs>
              <w:tab w:val="right" w:leader="dot" w:pos="8306"/>
            </w:tabs>
            <w:spacing w:line="420" w:lineRule="exact"/>
            <w:rPr>
              <w:sz w:val="24"/>
            </w:rPr>
          </w:pPr>
          <w:hyperlink w:anchor="_Toc24344" w:history="1">
            <w:r w:rsidR="00376903">
              <w:rPr>
                <w:rFonts w:ascii="楷体" w:eastAsia="楷体" w:hAnsi="楷体" w:cs="楷体" w:hint="eastAsia"/>
                <w:sz w:val="24"/>
              </w:rPr>
              <w:t>（八）终身教育开放融通发展</w:t>
            </w:r>
            <w:r w:rsidR="00376903">
              <w:rPr>
                <w:rFonts w:ascii="楷体" w:eastAsia="楷体" w:hAnsi="楷体" w:cs="楷体" w:hint="eastAsia"/>
                <w:sz w:val="24"/>
              </w:rPr>
              <w:tab/>
            </w:r>
            <w:r w:rsidR="00376903">
              <w:rPr>
                <w:rFonts w:ascii="楷体" w:eastAsia="楷体" w:hAnsi="楷体" w:cs="楷体" w:hint="eastAsia"/>
                <w:sz w:val="24"/>
              </w:rPr>
              <w:fldChar w:fldCharType="begin"/>
            </w:r>
            <w:r w:rsidR="00376903">
              <w:rPr>
                <w:rFonts w:ascii="楷体" w:eastAsia="楷体" w:hAnsi="楷体" w:cs="楷体" w:hint="eastAsia"/>
                <w:sz w:val="24"/>
              </w:rPr>
              <w:instrText xml:space="preserve"> PAGEREF _Toc24344 </w:instrText>
            </w:r>
            <w:r w:rsidR="00376903">
              <w:rPr>
                <w:rFonts w:ascii="楷体" w:eastAsia="楷体" w:hAnsi="楷体" w:cs="楷体" w:hint="eastAsia"/>
                <w:sz w:val="24"/>
              </w:rPr>
              <w:fldChar w:fldCharType="separate"/>
            </w:r>
            <w:r w:rsidR="00376903">
              <w:rPr>
                <w:rFonts w:ascii="楷体" w:eastAsia="楷体" w:hAnsi="楷体" w:cs="楷体" w:hint="eastAsia"/>
                <w:sz w:val="24"/>
              </w:rPr>
              <w:t>12</w:t>
            </w:r>
            <w:r w:rsidR="00376903">
              <w:rPr>
                <w:rFonts w:ascii="楷体" w:eastAsia="楷体" w:hAnsi="楷体" w:cs="楷体" w:hint="eastAsia"/>
                <w:sz w:val="24"/>
              </w:rPr>
              <w:fldChar w:fldCharType="end"/>
            </w:r>
          </w:hyperlink>
        </w:p>
        <w:p w14:paraId="73803B33" w14:textId="77777777" w:rsidR="006362A7" w:rsidRDefault="00E11AB7">
          <w:pPr>
            <w:pStyle w:val="1"/>
            <w:tabs>
              <w:tab w:val="right" w:leader="dot" w:pos="8306"/>
            </w:tabs>
            <w:spacing w:line="420" w:lineRule="exact"/>
          </w:pPr>
          <w:hyperlink w:anchor="_Toc19119" w:history="1">
            <w:r w:rsidR="00376903">
              <w:rPr>
                <w:rFonts w:ascii="黑体" w:eastAsia="黑体" w:hAnsi="黑体" w:cs="黑体" w:hint="eastAsia"/>
                <w:szCs w:val="32"/>
              </w:rPr>
              <w:t>四、</w:t>
            </w:r>
            <w:r w:rsidR="00376903">
              <w:rPr>
                <w:rStyle w:val="2Char1"/>
                <w:rFonts w:hint="eastAsia"/>
              </w:rPr>
              <w:t>“十四五”教育事业发展重要举措</w:t>
            </w:r>
            <w:r w:rsidR="00376903">
              <w:tab/>
            </w:r>
            <w:r w:rsidR="00376903">
              <w:rPr>
                <w:rFonts w:ascii="黑体" w:eastAsia="黑体" w:hAnsi="黑体" w:cs="黑体" w:hint="eastAsia"/>
                <w:sz w:val="24"/>
              </w:rPr>
              <w:fldChar w:fldCharType="begin"/>
            </w:r>
            <w:r w:rsidR="00376903">
              <w:rPr>
                <w:rFonts w:ascii="黑体" w:eastAsia="黑体" w:hAnsi="黑体" w:cs="黑体" w:hint="eastAsia"/>
                <w:sz w:val="24"/>
              </w:rPr>
              <w:instrText xml:space="preserve"> PAGEREF _Toc19119 </w:instrText>
            </w:r>
            <w:r w:rsidR="00376903">
              <w:rPr>
                <w:rFonts w:ascii="黑体" w:eastAsia="黑体" w:hAnsi="黑体" w:cs="黑体" w:hint="eastAsia"/>
                <w:sz w:val="24"/>
              </w:rPr>
              <w:fldChar w:fldCharType="separate"/>
            </w:r>
            <w:r w:rsidR="00376903">
              <w:rPr>
                <w:rFonts w:ascii="黑体" w:eastAsia="黑体" w:hAnsi="黑体" w:cs="黑体" w:hint="eastAsia"/>
                <w:sz w:val="24"/>
              </w:rPr>
              <w:t>12</w:t>
            </w:r>
            <w:r w:rsidR="00376903">
              <w:rPr>
                <w:rFonts w:ascii="黑体" w:eastAsia="黑体" w:hAnsi="黑体" w:cs="黑体" w:hint="eastAsia"/>
                <w:sz w:val="24"/>
              </w:rPr>
              <w:fldChar w:fldCharType="end"/>
            </w:r>
          </w:hyperlink>
        </w:p>
        <w:p w14:paraId="196C153B" w14:textId="77777777" w:rsidR="006362A7" w:rsidRDefault="00E11AB7">
          <w:pPr>
            <w:pStyle w:val="2"/>
            <w:tabs>
              <w:tab w:val="right" w:leader="dot" w:pos="8306"/>
            </w:tabs>
            <w:spacing w:line="420" w:lineRule="exact"/>
            <w:rPr>
              <w:rFonts w:ascii="楷体" w:eastAsia="楷体" w:hAnsi="楷体" w:cs="楷体"/>
              <w:sz w:val="24"/>
              <w:szCs w:val="32"/>
            </w:rPr>
          </w:pPr>
          <w:hyperlink w:anchor="_Toc32319" w:history="1">
            <w:r w:rsidR="00376903">
              <w:rPr>
                <w:rFonts w:ascii="楷体" w:eastAsia="楷体" w:hAnsi="楷体" w:cs="楷体" w:hint="eastAsia"/>
                <w:sz w:val="24"/>
                <w:szCs w:val="32"/>
              </w:rPr>
              <w:t>（一）坚持“五育”并举，深化素质教育</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_Toc32319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12</w:t>
            </w:r>
            <w:r w:rsidR="00376903">
              <w:rPr>
                <w:rFonts w:ascii="楷体" w:eastAsia="楷体" w:hAnsi="楷体" w:cs="楷体" w:hint="eastAsia"/>
                <w:sz w:val="24"/>
                <w:szCs w:val="32"/>
              </w:rPr>
              <w:fldChar w:fldCharType="end"/>
            </w:r>
          </w:hyperlink>
        </w:p>
        <w:p w14:paraId="62773C18" w14:textId="77777777" w:rsidR="006362A7" w:rsidRDefault="00E11AB7">
          <w:pPr>
            <w:pStyle w:val="2"/>
            <w:tabs>
              <w:tab w:val="right" w:leader="dot" w:pos="8306"/>
            </w:tabs>
            <w:spacing w:line="420" w:lineRule="exact"/>
            <w:rPr>
              <w:rFonts w:ascii="楷体" w:eastAsia="楷体" w:hAnsi="楷体" w:cs="楷体"/>
              <w:sz w:val="24"/>
              <w:szCs w:val="32"/>
            </w:rPr>
          </w:pPr>
          <w:hyperlink w:anchor="_Toc19970" w:history="1">
            <w:r w:rsidR="00376903">
              <w:rPr>
                <w:rFonts w:ascii="楷体" w:eastAsia="楷体" w:hAnsi="楷体" w:cs="楷体" w:hint="eastAsia"/>
                <w:sz w:val="24"/>
                <w:szCs w:val="32"/>
              </w:rPr>
              <w:t>（二）深化教学改革，提高教学质量</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_Toc19970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14</w:t>
            </w:r>
            <w:r w:rsidR="00376903">
              <w:rPr>
                <w:rFonts w:ascii="楷体" w:eastAsia="楷体" w:hAnsi="楷体" w:cs="楷体" w:hint="eastAsia"/>
                <w:sz w:val="24"/>
                <w:szCs w:val="32"/>
              </w:rPr>
              <w:fldChar w:fldCharType="end"/>
            </w:r>
          </w:hyperlink>
        </w:p>
        <w:p w14:paraId="13493F63" w14:textId="77777777" w:rsidR="006362A7" w:rsidRDefault="00E11AB7">
          <w:pPr>
            <w:pStyle w:val="2"/>
            <w:tabs>
              <w:tab w:val="right" w:leader="dot" w:pos="8306"/>
            </w:tabs>
            <w:spacing w:line="420" w:lineRule="exact"/>
            <w:rPr>
              <w:rFonts w:ascii="楷体" w:eastAsia="楷体" w:hAnsi="楷体" w:cs="楷体"/>
              <w:sz w:val="24"/>
              <w:szCs w:val="32"/>
            </w:rPr>
          </w:pPr>
          <w:hyperlink w:anchor="_Toc30483" w:history="1">
            <w:r w:rsidR="00376903">
              <w:rPr>
                <w:rFonts w:ascii="楷体" w:eastAsia="楷体" w:hAnsi="楷体" w:cs="楷体" w:hint="eastAsia"/>
                <w:sz w:val="24"/>
                <w:szCs w:val="32"/>
              </w:rPr>
              <w:t>（三）打造高素质师资，建设高质量教师队伍</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_Toc30483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14</w:t>
            </w:r>
            <w:r w:rsidR="00376903">
              <w:rPr>
                <w:rFonts w:ascii="楷体" w:eastAsia="楷体" w:hAnsi="楷体" w:cs="楷体" w:hint="eastAsia"/>
                <w:sz w:val="24"/>
                <w:szCs w:val="32"/>
              </w:rPr>
              <w:fldChar w:fldCharType="end"/>
            </w:r>
          </w:hyperlink>
        </w:p>
        <w:p w14:paraId="7C116432" w14:textId="77777777" w:rsidR="006362A7" w:rsidRDefault="00E11AB7">
          <w:pPr>
            <w:pStyle w:val="2"/>
            <w:tabs>
              <w:tab w:val="right" w:leader="dot" w:pos="8306"/>
            </w:tabs>
            <w:spacing w:line="420" w:lineRule="exact"/>
            <w:rPr>
              <w:rFonts w:ascii="楷体" w:eastAsia="楷体" w:hAnsi="楷体" w:cs="楷体"/>
              <w:sz w:val="24"/>
              <w:szCs w:val="32"/>
            </w:rPr>
          </w:pPr>
          <w:hyperlink w:anchor="_Toc27588" w:history="1">
            <w:r w:rsidR="00376903">
              <w:rPr>
                <w:rFonts w:ascii="楷体" w:eastAsia="楷体" w:hAnsi="楷体" w:cs="楷体" w:hint="eastAsia"/>
                <w:sz w:val="24"/>
                <w:szCs w:val="32"/>
              </w:rPr>
              <w:t>（四）提升信息化水平，加快智慧教育建设</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_Toc27588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15</w:t>
            </w:r>
            <w:r w:rsidR="00376903">
              <w:rPr>
                <w:rFonts w:ascii="楷体" w:eastAsia="楷体" w:hAnsi="楷体" w:cs="楷体" w:hint="eastAsia"/>
                <w:sz w:val="24"/>
                <w:szCs w:val="32"/>
              </w:rPr>
              <w:fldChar w:fldCharType="end"/>
            </w:r>
          </w:hyperlink>
        </w:p>
        <w:p w14:paraId="423DCAF3" w14:textId="77777777" w:rsidR="006362A7" w:rsidRDefault="00E11AB7">
          <w:pPr>
            <w:pStyle w:val="2"/>
            <w:tabs>
              <w:tab w:val="right" w:leader="dot" w:pos="8306"/>
            </w:tabs>
            <w:spacing w:line="420" w:lineRule="exact"/>
            <w:rPr>
              <w:rFonts w:ascii="楷体" w:eastAsia="楷体" w:hAnsi="楷体" w:cs="楷体"/>
              <w:sz w:val="24"/>
              <w:szCs w:val="32"/>
            </w:rPr>
          </w:pPr>
          <w:hyperlink w:anchor="_Toc21301" w:history="1">
            <w:r w:rsidR="00376903">
              <w:rPr>
                <w:rFonts w:ascii="楷体" w:eastAsia="楷体" w:hAnsi="楷体" w:cs="楷体" w:hint="eastAsia"/>
                <w:sz w:val="24"/>
                <w:szCs w:val="32"/>
              </w:rPr>
              <w:t>（五）深化体制改革，推进教育治理体系和治理能力现代化</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_Toc21301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15</w:t>
            </w:r>
            <w:r w:rsidR="00376903">
              <w:rPr>
                <w:rFonts w:ascii="楷体" w:eastAsia="楷体" w:hAnsi="楷体" w:cs="楷体" w:hint="eastAsia"/>
                <w:sz w:val="24"/>
                <w:szCs w:val="32"/>
              </w:rPr>
              <w:fldChar w:fldCharType="end"/>
            </w:r>
          </w:hyperlink>
        </w:p>
        <w:p w14:paraId="579F9E9F" w14:textId="77777777" w:rsidR="006362A7" w:rsidRDefault="00E11AB7">
          <w:pPr>
            <w:pStyle w:val="2"/>
            <w:tabs>
              <w:tab w:val="right" w:leader="dot" w:pos="8306"/>
            </w:tabs>
            <w:spacing w:line="420" w:lineRule="exact"/>
            <w:rPr>
              <w:rFonts w:ascii="楷体" w:eastAsia="楷体" w:hAnsi="楷体" w:cs="楷体"/>
              <w:sz w:val="24"/>
              <w:szCs w:val="32"/>
            </w:rPr>
          </w:pPr>
          <w:hyperlink w:anchor="_Toc19651" w:history="1">
            <w:r w:rsidR="00376903">
              <w:rPr>
                <w:rFonts w:ascii="楷体" w:eastAsia="楷体" w:hAnsi="楷体" w:cs="楷体" w:hint="eastAsia"/>
                <w:sz w:val="24"/>
                <w:szCs w:val="32"/>
              </w:rPr>
              <w:t>（六）扩大教育开放，强化国际合作</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_Toc19651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17</w:t>
            </w:r>
            <w:r w:rsidR="00376903">
              <w:rPr>
                <w:rFonts w:ascii="楷体" w:eastAsia="楷体" w:hAnsi="楷体" w:cs="楷体" w:hint="eastAsia"/>
                <w:sz w:val="24"/>
                <w:szCs w:val="32"/>
              </w:rPr>
              <w:fldChar w:fldCharType="end"/>
            </w:r>
          </w:hyperlink>
        </w:p>
        <w:p w14:paraId="21952B81" w14:textId="77777777" w:rsidR="006362A7" w:rsidRDefault="00E11AB7">
          <w:pPr>
            <w:pStyle w:val="2"/>
            <w:tabs>
              <w:tab w:val="right" w:leader="dot" w:pos="8306"/>
            </w:tabs>
            <w:spacing w:line="420" w:lineRule="exact"/>
          </w:pPr>
          <w:hyperlink w:anchor="_Toc3882" w:history="1">
            <w:r w:rsidR="00376903">
              <w:rPr>
                <w:rFonts w:ascii="楷体" w:eastAsia="楷体" w:hAnsi="楷体" w:cs="楷体" w:hint="eastAsia"/>
                <w:sz w:val="24"/>
                <w:szCs w:val="32"/>
              </w:rPr>
              <w:t>（七）提高学校规划水平，建设现代化学校</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_Toc3882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17</w:t>
            </w:r>
            <w:r w:rsidR="00376903">
              <w:rPr>
                <w:rFonts w:ascii="楷体" w:eastAsia="楷体" w:hAnsi="楷体" w:cs="楷体" w:hint="eastAsia"/>
                <w:sz w:val="24"/>
                <w:szCs w:val="32"/>
              </w:rPr>
              <w:fldChar w:fldCharType="end"/>
            </w:r>
          </w:hyperlink>
        </w:p>
        <w:p w14:paraId="72B2C35C" w14:textId="77777777" w:rsidR="006362A7" w:rsidRDefault="00E11AB7">
          <w:pPr>
            <w:pStyle w:val="1"/>
            <w:tabs>
              <w:tab w:val="right" w:leader="dot" w:pos="8306"/>
            </w:tabs>
            <w:spacing w:line="420" w:lineRule="exact"/>
          </w:pPr>
          <w:hyperlink w:anchor="_Toc16052" w:history="1">
            <w:r w:rsidR="00376903">
              <w:rPr>
                <w:rFonts w:ascii="黑体" w:eastAsia="黑体" w:hAnsi="黑体" w:cs="黑体" w:hint="eastAsia"/>
                <w:szCs w:val="32"/>
              </w:rPr>
              <w:t>五、</w:t>
            </w:r>
            <w:r w:rsidR="00376903">
              <w:rPr>
                <w:rStyle w:val="2Char1"/>
                <w:rFonts w:hint="eastAsia"/>
              </w:rPr>
              <w:t>“十四五”教育事业发展保障机制</w:t>
            </w:r>
            <w:r w:rsidR="00376903">
              <w:tab/>
            </w:r>
            <w:r w:rsidR="00376903">
              <w:rPr>
                <w:rFonts w:ascii="黑体" w:eastAsia="黑体" w:hAnsi="黑体" w:cs="黑体" w:hint="eastAsia"/>
                <w:sz w:val="24"/>
              </w:rPr>
              <w:fldChar w:fldCharType="begin"/>
            </w:r>
            <w:r w:rsidR="00376903">
              <w:rPr>
                <w:rFonts w:ascii="黑体" w:eastAsia="黑体" w:hAnsi="黑体" w:cs="黑体" w:hint="eastAsia"/>
                <w:sz w:val="24"/>
              </w:rPr>
              <w:instrText xml:space="preserve"> PAGEREF _Toc16052 </w:instrText>
            </w:r>
            <w:r w:rsidR="00376903">
              <w:rPr>
                <w:rFonts w:ascii="黑体" w:eastAsia="黑体" w:hAnsi="黑体" w:cs="黑体" w:hint="eastAsia"/>
                <w:sz w:val="24"/>
              </w:rPr>
              <w:fldChar w:fldCharType="separate"/>
            </w:r>
            <w:r w:rsidR="00376903">
              <w:rPr>
                <w:rFonts w:ascii="黑体" w:eastAsia="黑体" w:hAnsi="黑体" w:cs="黑体" w:hint="eastAsia"/>
                <w:sz w:val="24"/>
              </w:rPr>
              <w:t>18</w:t>
            </w:r>
            <w:r w:rsidR="00376903">
              <w:rPr>
                <w:rFonts w:ascii="黑体" w:eastAsia="黑体" w:hAnsi="黑体" w:cs="黑体" w:hint="eastAsia"/>
                <w:sz w:val="24"/>
              </w:rPr>
              <w:fldChar w:fldCharType="end"/>
            </w:r>
          </w:hyperlink>
        </w:p>
        <w:p w14:paraId="4EFD95E9" w14:textId="77777777" w:rsidR="006362A7" w:rsidRDefault="00E11AB7">
          <w:pPr>
            <w:pStyle w:val="2"/>
            <w:tabs>
              <w:tab w:val="right" w:leader="dot" w:pos="8306"/>
            </w:tabs>
            <w:spacing w:line="420" w:lineRule="exact"/>
            <w:rPr>
              <w:rFonts w:ascii="楷体" w:eastAsia="楷体" w:hAnsi="楷体" w:cs="楷体"/>
              <w:sz w:val="24"/>
              <w:szCs w:val="32"/>
            </w:rPr>
          </w:pPr>
          <w:hyperlink w:anchor="_Toc9" w:history="1">
            <w:r w:rsidR="00376903">
              <w:rPr>
                <w:rFonts w:ascii="楷体" w:eastAsia="楷体" w:hAnsi="楷体" w:cs="楷体" w:hint="eastAsia"/>
                <w:sz w:val="24"/>
                <w:szCs w:val="32"/>
              </w:rPr>
              <w:t>（一）加强党对教育的领导</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_Toc9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18</w:t>
            </w:r>
            <w:r w:rsidR="00376903">
              <w:rPr>
                <w:rFonts w:ascii="楷体" w:eastAsia="楷体" w:hAnsi="楷体" w:cs="楷体" w:hint="eastAsia"/>
                <w:sz w:val="24"/>
                <w:szCs w:val="32"/>
              </w:rPr>
              <w:fldChar w:fldCharType="end"/>
            </w:r>
          </w:hyperlink>
        </w:p>
        <w:p w14:paraId="716CDE4A" w14:textId="77777777" w:rsidR="006362A7" w:rsidRDefault="00E11AB7">
          <w:pPr>
            <w:pStyle w:val="2"/>
            <w:tabs>
              <w:tab w:val="right" w:leader="dot" w:pos="8306"/>
            </w:tabs>
            <w:spacing w:line="420" w:lineRule="exact"/>
            <w:rPr>
              <w:rFonts w:ascii="楷体" w:eastAsia="楷体" w:hAnsi="楷体" w:cs="楷体"/>
              <w:sz w:val="24"/>
              <w:szCs w:val="32"/>
            </w:rPr>
          </w:pPr>
          <w:hyperlink w:anchor="_Toc28580" w:history="1">
            <w:r w:rsidR="00376903">
              <w:rPr>
                <w:rFonts w:ascii="楷体" w:eastAsia="楷体" w:hAnsi="楷体" w:cs="楷体" w:hint="eastAsia"/>
                <w:sz w:val="24"/>
                <w:szCs w:val="32"/>
              </w:rPr>
              <w:t>（二）完善教育投入保障机制</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_Toc28580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18</w:t>
            </w:r>
            <w:r w:rsidR="00376903">
              <w:rPr>
                <w:rFonts w:ascii="楷体" w:eastAsia="楷体" w:hAnsi="楷体" w:cs="楷体" w:hint="eastAsia"/>
                <w:sz w:val="24"/>
                <w:szCs w:val="32"/>
              </w:rPr>
              <w:fldChar w:fldCharType="end"/>
            </w:r>
          </w:hyperlink>
        </w:p>
        <w:p w14:paraId="7898A422" w14:textId="77777777" w:rsidR="006362A7" w:rsidRDefault="00E11AB7">
          <w:pPr>
            <w:pStyle w:val="2"/>
            <w:tabs>
              <w:tab w:val="right" w:leader="dot" w:pos="8306"/>
            </w:tabs>
            <w:spacing w:line="420" w:lineRule="exact"/>
            <w:rPr>
              <w:rFonts w:ascii="楷体" w:eastAsia="楷体" w:hAnsi="楷体" w:cs="楷体"/>
              <w:sz w:val="24"/>
              <w:szCs w:val="32"/>
            </w:rPr>
          </w:pPr>
          <w:hyperlink w:anchor="_Toc23477" w:history="1">
            <w:r w:rsidR="00376903">
              <w:rPr>
                <w:rFonts w:ascii="楷体" w:eastAsia="楷体" w:hAnsi="楷体" w:cs="楷体" w:hint="eastAsia"/>
                <w:sz w:val="24"/>
                <w:szCs w:val="32"/>
              </w:rPr>
              <w:t>（三）建立规划实施保障机制</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_Toc23477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20</w:t>
            </w:r>
            <w:r w:rsidR="00376903">
              <w:rPr>
                <w:rFonts w:ascii="楷体" w:eastAsia="楷体" w:hAnsi="楷体" w:cs="楷体" w:hint="eastAsia"/>
                <w:sz w:val="24"/>
                <w:szCs w:val="32"/>
              </w:rPr>
              <w:fldChar w:fldCharType="end"/>
            </w:r>
          </w:hyperlink>
        </w:p>
        <w:p w14:paraId="12DD91E2" w14:textId="77777777" w:rsidR="006362A7" w:rsidRDefault="00E11AB7">
          <w:pPr>
            <w:pStyle w:val="2"/>
            <w:tabs>
              <w:tab w:val="right" w:leader="dot" w:pos="8306"/>
            </w:tabs>
            <w:spacing w:line="420" w:lineRule="exact"/>
          </w:pPr>
          <w:hyperlink w:anchor="_Toc9671" w:history="1">
            <w:r w:rsidR="00376903">
              <w:rPr>
                <w:rFonts w:ascii="楷体" w:eastAsia="楷体" w:hAnsi="楷体" w:cs="楷体" w:hint="eastAsia"/>
                <w:sz w:val="24"/>
                <w:szCs w:val="32"/>
              </w:rPr>
              <w:t>（四）维护校园安全稳定</w:t>
            </w:r>
            <w:r w:rsidR="00376903">
              <w:rPr>
                <w:rFonts w:ascii="楷体" w:eastAsia="楷体" w:hAnsi="楷体" w:cs="楷体" w:hint="eastAsia"/>
                <w:sz w:val="24"/>
                <w:szCs w:val="32"/>
              </w:rPr>
              <w:tab/>
            </w:r>
            <w:r w:rsidR="00376903">
              <w:rPr>
                <w:rFonts w:ascii="楷体" w:eastAsia="楷体" w:hAnsi="楷体" w:cs="楷体" w:hint="eastAsia"/>
                <w:sz w:val="24"/>
                <w:szCs w:val="32"/>
              </w:rPr>
              <w:fldChar w:fldCharType="begin"/>
            </w:r>
            <w:r w:rsidR="00376903">
              <w:rPr>
                <w:rFonts w:ascii="楷体" w:eastAsia="楷体" w:hAnsi="楷体" w:cs="楷体" w:hint="eastAsia"/>
                <w:sz w:val="24"/>
                <w:szCs w:val="32"/>
              </w:rPr>
              <w:instrText xml:space="preserve"> PAGEREF _Toc9671 </w:instrText>
            </w:r>
            <w:r w:rsidR="00376903">
              <w:rPr>
                <w:rFonts w:ascii="楷体" w:eastAsia="楷体" w:hAnsi="楷体" w:cs="楷体" w:hint="eastAsia"/>
                <w:sz w:val="24"/>
                <w:szCs w:val="32"/>
              </w:rPr>
              <w:fldChar w:fldCharType="separate"/>
            </w:r>
            <w:r w:rsidR="00376903">
              <w:rPr>
                <w:rFonts w:ascii="楷体" w:eastAsia="楷体" w:hAnsi="楷体" w:cs="楷体" w:hint="eastAsia"/>
                <w:sz w:val="24"/>
                <w:szCs w:val="32"/>
              </w:rPr>
              <w:t>20</w:t>
            </w:r>
            <w:r w:rsidR="00376903">
              <w:rPr>
                <w:rFonts w:ascii="楷体" w:eastAsia="楷体" w:hAnsi="楷体" w:cs="楷体" w:hint="eastAsia"/>
                <w:sz w:val="24"/>
                <w:szCs w:val="32"/>
              </w:rPr>
              <w:fldChar w:fldCharType="end"/>
            </w:r>
          </w:hyperlink>
        </w:p>
        <w:p w14:paraId="5932435F" w14:textId="77777777" w:rsidR="006362A7" w:rsidRDefault="00376903">
          <w:pPr>
            <w:pStyle w:val="a0"/>
            <w:spacing w:line="420" w:lineRule="exact"/>
          </w:pPr>
          <w:r>
            <w:fldChar w:fldCharType="end"/>
          </w:r>
        </w:p>
      </w:sdtContent>
    </w:sdt>
    <w:p w14:paraId="784F7D28" w14:textId="77777777" w:rsidR="006362A7" w:rsidRDefault="006362A7">
      <w:pPr>
        <w:spacing w:line="420" w:lineRule="exact"/>
        <w:jc w:val="center"/>
        <w:rPr>
          <w:rFonts w:ascii="方正小标宋简体" w:eastAsia="方正小标宋简体" w:hAnsi="方正小标宋简体" w:cs="方正小标宋简体"/>
          <w:color w:val="000000"/>
          <w:sz w:val="44"/>
          <w:szCs w:val="52"/>
        </w:rPr>
        <w:sectPr w:rsidR="006362A7">
          <w:footerReference w:type="default" r:id="rId9"/>
          <w:pgSz w:w="11906" w:h="16838"/>
          <w:pgMar w:top="1440" w:right="1800" w:bottom="1440" w:left="1800" w:header="851" w:footer="992" w:gutter="0"/>
          <w:pgNumType w:start="1"/>
          <w:cols w:space="720"/>
          <w:docGrid w:type="lines" w:linePitch="312"/>
        </w:sectPr>
      </w:pPr>
    </w:p>
    <w:p w14:paraId="1C816C15" w14:textId="77777777" w:rsidR="006362A7" w:rsidRDefault="00376903">
      <w:pPr>
        <w:spacing w:line="560" w:lineRule="exact"/>
        <w:jc w:val="center"/>
        <w:rPr>
          <w:rFonts w:ascii="方正小标宋简体" w:eastAsia="方正小标宋简体" w:hAnsi="方正小标宋简体" w:cs="方正小标宋简体"/>
          <w:color w:val="000000"/>
          <w:sz w:val="44"/>
          <w:szCs w:val="52"/>
        </w:rPr>
      </w:pPr>
      <w:bookmarkStart w:id="12" w:name="_Toc92"/>
      <w:bookmarkStart w:id="13" w:name="_Toc10539"/>
      <w:bookmarkStart w:id="14" w:name="_Toc5957"/>
      <w:bookmarkStart w:id="15" w:name="_Toc26593"/>
      <w:bookmarkStart w:id="16" w:name="_Toc16714"/>
      <w:r>
        <w:rPr>
          <w:rFonts w:ascii="方正小标宋简体" w:eastAsia="方正小标宋简体" w:hAnsi="方正小标宋简体" w:cs="方正小标宋简体" w:hint="eastAsia"/>
          <w:color w:val="000000"/>
          <w:sz w:val="44"/>
          <w:szCs w:val="52"/>
        </w:rPr>
        <w:lastRenderedPageBreak/>
        <w:t>苏州市相城区教育事业发展“十四五”规划</w:t>
      </w:r>
      <w:bookmarkEnd w:id="12"/>
      <w:bookmarkEnd w:id="13"/>
      <w:bookmarkEnd w:id="14"/>
      <w:bookmarkEnd w:id="15"/>
      <w:bookmarkEnd w:id="16"/>
    </w:p>
    <w:p w14:paraId="2C1C218B" w14:textId="77777777" w:rsidR="006362A7" w:rsidRDefault="006362A7">
      <w:pPr>
        <w:spacing w:line="560" w:lineRule="exact"/>
        <w:ind w:firstLineChars="200" w:firstLine="640"/>
        <w:jc w:val="left"/>
        <w:rPr>
          <w:rFonts w:ascii="仿宋_GB2312" w:eastAsia="仿宋_GB2312" w:hAnsi="仿宋_GB2312" w:cs="仿宋_GB2312"/>
          <w:sz w:val="32"/>
          <w:szCs w:val="32"/>
        </w:rPr>
      </w:pPr>
    </w:p>
    <w:p w14:paraId="4E3FA903"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教育是国之大计、党之大计，在我国国家制度和国家治理体系中具有基础性、战略性、全局性、先导性的重要作用。为推动相城教育高质量发展，全面实现教育现代化，根据《江苏教育现代化2035》、</w:t>
      </w:r>
      <w:r>
        <w:rPr>
          <w:rFonts w:ascii="仿宋_GB2312" w:eastAsia="仿宋_GB2312" w:hAnsi="仿宋_GB2312" w:cs="仿宋_GB2312" w:hint="eastAsia"/>
          <w:color w:val="000000" w:themeColor="text1"/>
          <w:sz w:val="32"/>
          <w:szCs w:val="32"/>
        </w:rPr>
        <w:t>《苏州市相城区国民经济和社会发展第十四个五年规划和二〇三五年远景目标纲要》</w:t>
      </w:r>
      <w:r>
        <w:rPr>
          <w:rFonts w:ascii="仿宋_GB2312" w:eastAsia="仿宋_GB2312" w:hAnsi="仿宋_GB2312" w:cs="仿宋_GB2312" w:hint="eastAsia"/>
          <w:sz w:val="32"/>
          <w:szCs w:val="32"/>
        </w:rPr>
        <w:t>等文件，结合相城教育实际，特制定本规划。</w:t>
      </w:r>
    </w:p>
    <w:p w14:paraId="7B43B7EB" w14:textId="77777777" w:rsidR="006362A7" w:rsidRDefault="00376903">
      <w:pPr>
        <w:spacing w:line="540" w:lineRule="exact"/>
        <w:ind w:firstLineChars="200" w:firstLine="640"/>
        <w:outlineLvl w:val="0"/>
        <w:rPr>
          <w:rFonts w:ascii="仿宋_GB2312" w:eastAsia="仿宋_GB2312" w:hAnsi="仿宋_GB2312" w:cs="仿宋_GB2312"/>
          <w:sz w:val="32"/>
          <w:szCs w:val="32"/>
        </w:rPr>
      </w:pPr>
      <w:bookmarkStart w:id="17" w:name="_Toc13900"/>
      <w:bookmarkStart w:id="18" w:name="_Toc4606"/>
      <w:bookmarkStart w:id="19" w:name="_Toc148"/>
      <w:bookmarkStart w:id="20" w:name="_Toc25019"/>
      <w:bookmarkStart w:id="21" w:name="_Toc25121"/>
      <w:r>
        <w:rPr>
          <w:rFonts w:ascii="黑体" w:eastAsia="黑体" w:hAnsi="黑体" w:cs="黑体" w:hint="eastAsia"/>
          <w:sz w:val="32"/>
          <w:szCs w:val="32"/>
        </w:rPr>
        <w:t>一、“十三五”教育事业发展回顾</w:t>
      </w:r>
      <w:bookmarkEnd w:id="17"/>
      <w:bookmarkEnd w:id="18"/>
      <w:bookmarkEnd w:id="19"/>
      <w:bookmarkEnd w:id="20"/>
      <w:bookmarkEnd w:id="21"/>
    </w:p>
    <w:p w14:paraId="6FF3BEC9" w14:textId="77777777" w:rsidR="006362A7" w:rsidRDefault="00376903">
      <w:pPr>
        <w:numPr>
          <w:ilvl w:val="0"/>
          <w:numId w:val="1"/>
        </w:numPr>
        <w:spacing w:line="540" w:lineRule="exact"/>
        <w:ind w:firstLineChars="200" w:firstLine="640"/>
        <w:outlineLvl w:val="1"/>
        <w:rPr>
          <w:rFonts w:ascii="楷体" w:eastAsia="楷体" w:hAnsi="楷体" w:cs="楷体"/>
          <w:sz w:val="32"/>
          <w:szCs w:val="32"/>
        </w:rPr>
      </w:pPr>
      <w:bookmarkStart w:id="22" w:name="_Toc22100"/>
      <w:bookmarkStart w:id="23" w:name="_Toc12777"/>
      <w:bookmarkStart w:id="24" w:name="_Toc23084"/>
      <w:bookmarkStart w:id="25" w:name="_Toc7523"/>
      <w:r>
        <w:rPr>
          <w:rFonts w:ascii="楷体" w:eastAsia="楷体" w:hAnsi="楷体" w:cs="楷体" w:hint="eastAsia"/>
          <w:sz w:val="32"/>
          <w:szCs w:val="32"/>
        </w:rPr>
        <w:t>主要成就</w:t>
      </w:r>
      <w:bookmarkEnd w:id="22"/>
      <w:bookmarkEnd w:id="23"/>
      <w:bookmarkEnd w:id="24"/>
      <w:bookmarkEnd w:id="25"/>
    </w:p>
    <w:p w14:paraId="74EB0E24" w14:textId="77777777" w:rsidR="006362A7" w:rsidRDefault="00376903">
      <w:pPr>
        <w:spacing w:line="540" w:lineRule="exact"/>
        <w:ind w:firstLineChars="200" w:firstLine="640"/>
        <w:rPr>
          <w:rFonts w:ascii="仿宋_GB2312" w:eastAsia="仿宋_GB2312" w:hAnsi="仿宋_GB2312" w:cs="仿宋_GB2312"/>
          <w:color w:val="7030A0"/>
          <w:sz w:val="32"/>
          <w:szCs w:val="32"/>
        </w:rPr>
      </w:pPr>
      <w:bookmarkStart w:id="26" w:name="_Toc27820"/>
      <w:bookmarkStart w:id="27" w:name="_Toc3072"/>
      <w:bookmarkStart w:id="28" w:name="_Toc27375"/>
      <w:bookmarkStart w:id="29" w:name="_Toc28483"/>
      <w:r>
        <w:rPr>
          <w:rFonts w:ascii="仿宋_GB2312" w:eastAsia="仿宋_GB2312" w:hAnsi="仿宋_GB2312" w:cs="仿宋_GB2312" w:hint="eastAsia"/>
          <w:sz w:val="32"/>
          <w:szCs w:val="32"/>
        </w:rPr>
        <w:t>1.教育资源不断扩大</w:t>
      </w:r>
      <w:bookmarkEnd w:id="26"/>
      <w:bookmarkEnd w:id="27"/>
      <w:bookmarkEnd w:id="28"/>
      <w:bookmarkEnd w:id="29"/>
    </w:p>
    <w:p w14:paraId="788A7548" w14:textId="77777777" w:rsidR="006362A7" w:rsidRDefault="00376903">
      <w:pPr>
        <w:spacing w:line="54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sz w:val="32"/>
          <w:szCs w:val="32"/>
        </w:rPr>
        <w:t>积极推进“十三五”学校建设计划、基本公共服务三年行动计划（2018-2020），编制完成《相城区教育设施布局规划（2018-2035）》。</w:t>
      </w:r>
      <w:r>
        <w:rPr>
          <w:rFonts w:ascii="仿宋_GB2312" w:eastAsia="仿宋_GB2312" w:hAnsi="仿宋_GB2312" w:cs="仿宋_GB2312" w:hint="eastAsia"/>
          <w:color w:val="000000" w:themeColor="text1"/>
          <w:sz w:val="32"/>
          <w:szCs w:val="32"/>
        </w:rPr>
        <w:t>2016年以来，全区开工新建、改扩建学校项目51个，到2020年底，完成建设投资66亿元，38个项目投入使用，新增校舍面积108.09万平方米，新增学位4.82万个。</w:t>
      </w:r>
    </w:p>
    <w:p w14:paraId="72C2553F" w14:textId="77777777" w:rsidR="006362A7" w:rsidRDefault="00376903">
      <w:pPr>
        <w:spacing w:line="540" w:lineRule="exact"/>
        <w:ind w:firstLineChars="200" w:firstLine="640"/>
        <w:rPr>
          <w:rFonts w:ascii="仿宋_GB2312" w:eastAsia="仿宋_GB2312" w:hAnsi="仿宋_GB2312" w:cs="仿宋_GB2312"/>
          <w:color w:val="000000" w:themeColor="text1"/>
          <w:sz w:val="32"/>
          <w:szCs w:val="32"/>
        </w:rPr>
      </w:pPr>
      <w:bookmarkStart w:id="30" w:name="_Toc18468"/>
      <w:bookmarkStart w:id="31" w:name="_Toc14717"/>
      <w:bookmarkStart w:id="32" w:name="_Toc11397"/>
      <w:bookmarkStart w:id="33" w:name="_Toc17321"/>
      <w:r>
        <w:rPr>
          <w:rFonts w:ascii="仿宋_GB2312" w:eastAsia="仿宋_GB2312" w:hAnsi="仿宋_GB2312" w:cs="仿宋_GB2312" w:hint="eastAsia"/>
          <w:color w:val="000000" w:themeColor="text1"/>
          <w:sz w:val="32"/>
          <w:szCs w:val="32"/>
        </w:rPr>
        <w:t>2.教育发展水平不断提升</w:t>
      </w:r>
      <w:bookmarkEnd w:id="30"/>
      <w:bookmarkEnd w:id="31"/>
      <w:bookmarkEnd w:id="32"/>
      <w:bookmarkEnd w:id="33"/>
    </w:p>
    <w:p w14:paraId="244D491A"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themeColor="text1"/>
          <w:sz w:val="32"/>
          <w:szCs w:val="32"/>
        </w:rPr>
        <w:t>学前三年毛入园率100%,区域内省市优质幼儿园覆盖率（省、市优质幼儿园在园幼儿占比）达82.4%。义务教育巩固率100%,“十三五”期间新增义务教育学位3.711万个，通过积分入学吸纳流动人口随迁子女1.541万人。</w:t>
      </w:r>
      <w:r>
        <w:rPr>
          <w:rFonts w:ascii="仿宋_GB2312" w:eastAsia="仿宋_GB2312" w:hAnsi="仿宋_GB2312" w:cs="仿宋_GB2312" w:hint="eastAsia"/>
          <w:color w:val="000000"/>
          <w:sz w:val="32"/>
          <w:szCs w:val="32"/>
        </w:rPr>
        <w:t>高中阶段教育毛入学率100%。2020年一本上线率41.14%，本科上线率92.99%，分别比“十</w:t>
      </w:r>
      <w:r>
        <w:rPr>
          <w:rFonts w:ascii="仿宋_GB2312" w:eastAsia="仿宋_GB2312" w:hAnsi="仿宋_GB2312" w:cs="仿宋_GB2312" w:hint="eastAsia"/>
          <w:color w:val="000000" w:themeColor="text1"/>
          <w:sz w:val="32"/>
          <w:szCs w:val="32"/>
        </w:rPr>
        <w:t>二五”末提高25、16个百分点。新建江苏省相城中学，与苏州中学合作创办江苏省苏州中学相</w:t>
      </w:r>
      <w:r>
        <w:rPr>
          <w:rFonts w:ascii="仿宋_GB2312" w:eastAsia="仿宋_GB2312" w:hAnsi="仿宋_GB2312" w:cs="仿宋_GB2312" w:hint="eastAsia"/>
          <w:color w:val="000000" w:themeColor="text1"/>
          <w:sz w:val="32"/>
          <w:szCs w:val="32"/>
        </w:rPr>
        <w:lastRenderedPageBreak/>
        <w:t>城实验项目。</w:t>
      </w:r>
      <w:r>
        <w:rPr>
          <w:rFonts w:ascii="仿宋_GB2312" w:eastAsia="仿宋_GB2312" w:hAnsi="仿宋_GB2312" w:cs="仿宋_GB2312" w:hint="eastAsia"/>
          <w:color w:val="000000"/>
          <w:sz w:val="32"/>
          <w:szCs w:val="32"/>
        </w:rPr>
        <w:t>相城中等专业学校被评为</w:t>
      </w:r>
      <w:r>
        <w:rPr>
          <w:rFonts w:eastAsia="仿宋_GB2312"/>
          <w:color w:val="000000"/>
          <w:sz w:val="32"/>
          <w:szCs w:val="32"/>
        </w:rPr>
        <w:t>江苏省现代化示范中等职业学校</w:t>
      </w:r>
      <w:r>
        <w:rPr>
          <w:rFonts w:ascii="仿宋_GB2312" w:eastAsia="仿宋_GB2312" w:hAnsi="仿宋_GB2312" w:cs="仿宋_GB2312" w:hint="eastAsia"/>
          <w:color w:val="000000"/>
          <w:sz w:val="32"/>
          <w:szCs w:val="32"/>
        </w:rPr>
        <w:t>，现有校企合作企业168家，企业学院3个，开办中</w:t>
      </w:r>
      <w:proofErr w:type="gramStart"/>
      <w:r>
        <w:rPr>
          <w:rFonts w:ascii="仿宋_GB2312" w:eastAsia="仿宋_GB2312" w:hAnsi="仿宋_GB2312" w:cs="仿宋_GB2312" w:hint="eastAsia"/>
          <w:color w:val="000000"/>
          <w:sz w:val="32"/>
          <w:szCs w:val="32"/>
        </w:rPr>
        <w:t>德专业</w:t>
      </w:r>
      <w:proofErr w:type="gramEnd"/>
      <w:r>
        <w:rPr>
          <w:rFonts w:ascii="仿宋_GB2312" w:eastAsia="仿宋_GB2312" w:hAnsi="仿宋_GB2312" w:cs="仿宋_GB2312" w:hint="eastAsia"/>
          <w:color w:val="000000"/>
          <w:sz w:val="32"/>
          <w:szCs w:val="32"/>
        </w:rPr>
        <w:t>技术工人培训中心，设立中德合作工业机电师、精密机械师班。</w:t>
      </w:r>
    </w:p>
    <w:p w14:paraId="43FA1D9F" w14:textId="77777777" w:rsidR="006362A7" w:rsidRDefault="00376903">
      <w:pPr>
        <w:spacing w:line="540" w:lineRule="exact"/>
        <w:ind w:firstLineChars="200" w:firstLine="640"/>
        <w:rPr>
          <w:rFonts w:ascii="仿宋_GB2312" w:eastAsia="仿宋_GB2312" w:hAnsi="仿宋_GB2312" w:cs="仿宋_GB2312"/>
          <w:color w:val="000000"/>
          <w:sz w:val="32"/>
          <w:szCs w:val="32"/>
        </w:rPr>
      </w:pPr>
      <w:bookmarkStart w:id="34" w:name="_Toc32483"/>
      <w:bookmarkStart w:id="35" w:name="_Toc6400"/>
      <w:bookmarkStart w:id="36" w:name="_Toc9917"/>
      <w:bookmarkStart w:id="37" w:name="_Toc26980"/>
      <w:r>
        <w:rPr>
          <w:rFonts w:ascii="仿宋_GB2312" w:eastAsia="仿宋_GB2312" w:hAnsi="仿宋_GB2312" w:cs="仿宋_GB2312" w:hint="eastAsia"/>
          <w:color w:val="000000"/>
          <w:sz w:val="32"/>
          <w:szCs w:val="32"/>
        </w:rPr>
        <w:t>3.教师队伍建设不断加强</w:t>
      </w:r>
      <w:bookmarkEnd w:id="34"/>
      <w:bookmarkEnd w:id="35"/>
      <w:bookmarkEnd w:id="36"/>
      <w:bookmarkEnd w:id="37"/>
    </w:p>
    <w:p w14:paraId="6D4F38EC" w14:textId="77777777" w:rsidR="006362A7" w:rsidRDefault="00376903">
      <w:pPr>
        <w:spacing w:line="540" w:lineRule="exact"/>
        <w:ind w:firstLineChars="150" w:firstLine="48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“十三五”期间，</w:t>
      </w:r>
      <w:proofErr w:type="gramStart"/>
      <w:r>
        <w:rPr>
          <w:rFonts w:ascii="仿宋_GB2312" w:eastAsia="仿宋_GB2312" w:hAnsi="仿宋_GB2312" w:cs="仿宋_GB2312" w:hint="eastAsia"/>
          <w:color w:val="000000"/>
          <w:sz w:val="32"/>
          <w:szCs w:val="32"/>
        </w:rPr>
        <w:t>新增省</w:t>
      </w:r>
      <w:proofErr w:type="gramEnd"/>
      <w:r>
        <w:rPr>
          <w:rFonts w:ascii="仿宋_GB2312" w:eastAsia="仿宋_GB2312" w:hAnsi="仿宋_GB2312" w:cs="仿宋_GB2312" w:hint="eastAsia"/>
          <w:color w:val="000000"/>
          <w:sz w:val="32"/>
          <w:szCs w:val="32"/>
        </w:rPr>
        <w:t>特级教师26人、正高级教师11人、市学科（学术）带头人132人，入选“姑苏教育人才”46名，评审“阳澄湖教育人才”88名。实施新一轮教师学历提升工程，小学教师本科及以上学历（学位）达91.78%，初中教师研究生学历（学位）达13.17%，高中教师研究生学历（学位）达25.17%，分别比“十二五”末提高8、4、8个百分点。</w:t>
      </w:r>
    </w:p>
    <w:p w14:paraId="13479F9C" w14:textId="77777777" w:rsidR="006362A7" w:rsidRDefault="00376903">
      <w:pPr>
        <w:tabs>
          <w:tab w:val="left" w:pos="312"/>
        </w:tabs>
        <w:spacing w:line="540" w:lineRule="exact"/>
        <w:ind w:firstLineChars="200" w:firstLine="640"/>
        <w:rPr>
          <w:rFonts w:ascii="仿宋_GB2312" w:eastAsia="仿宋_GB2312" w:hAnsi="仿宋_GB2312" w:cs="仿宋_GB2312"/>
          <w:color w:val="000000"/>
          <w:sz w:val="32"/>
          <w:szCs w:val="32"/>
        </w:rPr>
      </w:pPr>
      <w:bookmarkStart w:id="38" w:name="_Toc27091"/>
      <w:bookmarkStart w:id="39" w:name="_Toc6352"/>
      <w:bookmarkStart w:id="40" w:name="_Toc22330"/>
      <w:bookmarkStart w:id="41" w:name="_Toc22769"/>
      <w:r>
        <w:rPr>
          <w:rFonts w:ascii="仿宋_GB2312" w:eastAsia="仿宋_GB2312" w:hAnsi="仿宋_GB2312" w:cs="仿宋_GB2312" w:hint="eastAsia"/>
          <w:color w:val="000000"/>
          <w:sz w:val="32"/>
          <w:szCs w:val="32"/>
        </w:rPr>
        <w:t>4.素质教育扎实推进</w:t>
      </w:r>
      <w:bookmarkEnd w:id="38"/>
      <w:bookmarkEnd w:id="39"/>
      <w:bookmarkEnd w:id="40"/>
      <w:bookmarkEnd w:id="41"/>
    </w:p>
    <w:p w14:paraId="3DC2F079"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以校园足球联赛、阳光体育节、艺术节、科技节等为平台，大力提升学生的综合素养，高三学生体质测试连续四年列大市前三，拥有全国青少年校园足球特色学校（幼儿园）14所，市级艺术教育项目特色学校21所。开展文明校园创建活动，</w:t>
      </w:r>
      <w:proofErr w:type="gramStart"/>
      <w:r>
        <w:rPr>
          <w:rFonts w:ascii="仿宋_GB2312" w:eastAsia="仿宋_GB2312" w:hAnsi="仿宋_GB2312" w:cs="仿宋_GB2312" w:hint="eastAsia"/>
          <w:color w:val="000000"/>
          <w:sz w:val="32"/>
          <w:szCs w:val="32"/>
        </w:rPr>
        <w:t>获评省文明</w:t>
      </w:r>
      <w:proofErr w:type="gramEnd"/>
      <w:r>
        <w:rPr>
          <w:rFonts w:ascii="仿宋_GB2312" w:eastAsia="仿宋_GB2312" w:hAnsi="仿宋_GB2312" w:cs="仿宋_GB2312" w:hint="eastAsia"/>
          <w:color w:val="000000"/>
          <w:sz w:val="32"/>
          <w:szCs w:val="32"/>
        </w:rPr>
        <w:t>校园3所。相</w:t>
      </w:r>
      <w:proofErr w:type="gramStart"/>
      <w:r>
        <w:rPr>
          <w:rFonts w:ascii="仿宋_GB2312" w:eastAsia="仿宋_GB2312" w:hAnsi="仿宋_GB2312" w:cs="仿宋_GB2312" w:hint="eastAsia"/>
          <w:color w:val="000000"/>
          <w:sz w:val="32"/>
          <w:szCs w:val="32"/>
        </w:rPr>
        <w:t>城区获</w:t>
      </w:r>
      <w:proofErr w:type="gramEnd"/>
      <w:r>
        <w:rPr>
          <w:rFonts w:ascii="仿宋_GB2312" w:eastAsia="仿宋_GB2312" w:hAnsi="仿宋_GB2312" w:cs="仿宋_GB2312" w:hint="eastAsia"/>
          <w:color w:val="000000"/>
          <w:sz w:val="32"/>
          <w:szCs w:val="32"/>
        </w:rPr>
        <w:t>评“全国中小学校责任督学挂牌督导创新县（市、区）”。</w:t>
      </w:r>
    </w:p>
    <w:p w14:paraId="7A9032C3" w14:textId="77777777" w:rsidR="006362A7" w:rsidRDefault="00376903">
      <w:pPr>
        <w:spacing w:line="540" w:lineRule="exact"/>
        <w:ind w:firstLineChars="200" w:firstLine="640"/>
        <w:rPr>
          <w:rFonts w:ascii="仿宋_GB2312" w:eastAsia="仿宋_GB2312" w:hAnsi="仿宋_GB2312" w:cs="仿宋_GB2312"/>
          <w:color w:val="000000"/>
          <w:sz w:val="32"/>
          <w:szCs w:val="32"/>
        </w:rPr>
      </w:pPr>
      <w:bookmarkStart w:id="42" w:name="_Toc31776"/>
      <w:bookmarkStart w:id="43" w:name="_Toc1697"/>
      <w:bookmarkStart w:id="44" w:name="_Toc56"/>
      <w:bookmarkStart w:id="45" w:name="_Toc21435"/>
      <w:r>
        <w:rPr>
          <w:rFonts w:ascii="仿宋_GB2312" w:eastAsia="仿宋_GB2312" w:hAnsi="仿宋_GB2312" w:cs="仿宋_GB2312" w:hint="eastAsia"/>
          <w:color w:val="000000"/>
          <w:sz w:val="32"/>
          <w:szCs w:val="32"/>
        </w:rPr>
        <w:t>5.教育信息化水平显著提升</w:t>
      </w:r>
      <w:bookmarkEnd w:id="42"/>
      <w:bookmarkEnd w:id="43"/>
      <w:bookmarkEnd w:id="44"/>
      <w:bookmarkEnd w:id="45"/>
    </w:p>
    <w:p w14:paraId="08F856C2" w14:textId="77777777" w:rsidR="006362A7" w:rsidRDefault="00376903">
      <w:pPr>
        <w:tabs>
          <w:tab w:val="left" w:pos="312"/>
        </w:tabs>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18所学校建成江苏省中小学智慧校园，相城实验中学被评为苏州市首批智慧校园发展水平四星级学校。4所学校建成市首批机器人项目实验学校。苏州线上教育相城分中心惠及全区所有中小学生。</w:t>
      </w:r>
    </w:p>
    <w:p w14:paraId="3A2503F4" w14:textId="77777777" w:rsidR="006362A7" w:rsidRDefault="00376903">
      <w:pPr>
        <w:spacing w:line="540" w:lineRule="exact"/>
        <w:ind w:firstLineChars="200" w:firstLine="640"/>
        <w:rPr>
          <w:rFonts w:ascii="仿宋_GB2312" w:eastAsia="仿宋_GB2312" w:hAnsi="仿宋_GB2312" w:cs="仿宋_GB2312"/>
          <w:color w:val="000000"/>
          <w:sz w:val="32"/>
          <w:szCs w:val="32"/>
        </w:rPr>
      </w:pPr>
      <w:bookmarkStart w:id="46" w:name="_Toc20010"/>
      <w:bookmarkStart w:id="47" w:name="_Toc29036"/>
      <w:bookmarkStart w:id="48" w:name="_Toc28450"/>
      <w:bookmarkStart w:id="49" w:name="_Toc2555"/>
      <w:r>
        <w:rPr>
          <w:rFonts w:ascii="仿宋_GB2312" w:eastAsia="仿宋_GB2312" w:hAnsi="仿宋_GB2312" w:cs="仿宋_GB2312" w:hint="eastAsia"/>
          <w:color w:val="000000"/>
          <w:sz w:val="32"/>
          <w:szCs w:val="32"/>
        </w:rPr>
        <w:t>6.教育对外开放水平不断增强</w:t>
      </w:r>
      <w:bookmarkEnd w:id="46"/>
      <w:bookmarkEnd w:id="47"/>
      <w:bookmarkEnd w:id="48"/>
      <w:bookmarkEnd w:id="49"/>
    </w:p>
    <w:p w14:paraId="39157950" w14:textId="77777777" w:rsidR="006362A7" w:rsidRDefault="00376903">
      <w:pPr>
        <w:tabs>
          <w:tab w:val="left" w:pos="312"/>
        </w:tabs>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themeColor="text1"/>
          <w:sz w:val="32"/>
          <w:szCs w:val="32"/>
        </w:rPr>
        <w:lastRenderedPageBreak/>
        <w:t>组织学生参加境外</w:t>
      </w:r>
      <w:proofErr w:type="gramStart"/>
      <w:r>
        <w:rPr>
          <w:rFonts w:ascii="仿宋_GB2312" w:eastAsia="仿宋_GB2312" w:hAnsi="仿宋_GB2312" w:cs="仿宋_GB2312" w:hint="eastAsia"/>
          <w:color w:val="000000" w:themeColor="text1"/>
          <w:sz w:val="32"/>
          <w:szCs w:val="32"/>
        </w:rPr>
        <w:t>研</w:t>
      </w:r>
      <w:proofErr w:type="gramEnd"/>
      <w:r>
        <w:rPr>
          <w:rFonts w:ascii="仿宋_GB2312" w:eastAsia="仿宋_GB2312" w:hAnsi="仿宋_GB2312" w:cs="仿宋_GB2312" w:hint="eastAsia"/>
          <w:color w:val="000000" w:themeColor="text1"/>
          <w:sz w:val="32"/>
          <w:szCs w:val="32"/>
        </w:rPr>
        <w:t>学，实施面向中小学教师的“海外培训计划”，2300余名中外师生互访互学。加大国际学校引进力度，</w:t>
      </w:r>
      <w:proofErr w:type="gramStart"/>
      <w:r>
        <w:rPr>
          <w:rFonts w:ascii="仿宋_GB2312" w:eastAsia="仿宋_GB2312" w:hAnsi="仿宋_GB2312" w:cs="仿宋_GB2312" w:hint="eastAsia"/>
          <w:color w:val="000000"/>
          <w:sz w:val="32"/>
          <w:szCs w:val="32"/>
        </w:rPr>
        <w:t>荟</w:t>
      </w:r>
      <w:proofErr w:type="gramEnd"/>
      <w:r>
        <w:rPr>
          <w:rFonts w:ascii="仿宋_GB2312" w:eastAsia="仿宋_GB2312" w:hAnsi="仿宋_GB2312" w:cs="仿宋_GB2312" w:hint="eastAsia"/>
          <w:color w:val="000000"/>
          <w:sz w:val="32"/>
          <w:szCs w:val="32"/>
        </w:rPr>
        <w:t>同学校等7所国际学校（幼儿园）落户相城。江苏省黄</w:t>
      </w:r>
      <w:proofErr w:type="gramStart"/>
      <w:r>
        <w:rPr>
          <w:rFonts w:ascii="仿宋_GB2312" w:eastAsia="仿宋_GB2312" w:hAnsi="仿宋_GB2312" w:cs="仿宋_GB2312" w:hint="eastAsia"/>
          <w:color w:val="000000"/>
          <w:sz w:val="32"/>
          <w:szCs w:val="32"/>
        </w:rPr>
        <w:t>埭</w:t>
      </w:r>
      <w:proofErr w:type="gramEnd"/>
      <w:r>
        <w:rPr>
          <w:rFonts w:ascii="仿宋_GB2312" w:eastAsia="仿宋_GB2312" w:hAnsi="仿宋_GB2312" w:cs="仿宋_GB2312" w:hint="eastAsia"/>
          <w:color w:val="000000"/>
          <w:sz w:val="32"/>
          <w:szCs w:val="32"/>
        </w:rPr>
        <w:t>中学、苏州大学实验学校设立“相城区国际理解教育基地”，引进两个中外融合国际课程。</w:t>
      </w:r>
    </w:p>
    <w:p w14:paraId="07DBCB75" w14:textId="77777777" w:rsidR="006362A7" w:rsidRDefault="00376903">
      <w:pPr>
        <w:spacing w:line="540" w:lineRule="exact"/>
        <w:ind w:firstLineChars="200" w:firstLine="640"/>
        <w:rPr>
          <w:rFonts w:ascii="仿宋_GB2312" w:eastAsia="仿宋_GB2312" w:hAnsi="仿宋_GB2312" w:cs="仿宋_GB2312"/>
          <w:color w:val="000000"/>
          <w:sz w:val="32"/>
          <w:szCs w:val="32"/>
        </w:rPr>
      </w:pPr>
      <w:bookmarkStart w:id="50" w:name="_Toc28098"/>
      <w:bookmarkStart w:id="51" w:name="_Toc13147"/>
      <w:bookmarkStart w:id="52" w:name="_Toc19409"/>
      <w:bookmarkStart w:id="53" w:name="_Toc27954"/>
      <w:r>
        <w:rPr>
          <w:rFonts w:ascii="仿宋_GB2312" w:eastAsia="仿宋_GB2312" w:hAnsi="仿宋_GB2312" w:cs="仿宋_GB2312" w:hint="eastAsia"/>
          <w:color w:val="000000"/>
          <w:sz w:val="32"/>
          <w:szCs w:val="32"/>
        </w:rPr>
        <w:t>7.教育体制改革稳步推进</w:t>
      </w:r>
      <w:bookmarkEnd w:id="50"/>
      <w:bookmarkEnd w:id="51"/>
      <w:bookmarkEnd w:id="52"/>
      <w:bookmarkEnd w:id="53"/>
    </w:p>
    <w:p w14:paraId="1618EF5E"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纵深推进学校属地化管理，赋予镇（街道、区）、学校更多自主权与话语权。加大与高校合作办学力度，开办南京师范大学苏州实验学校等5所学校。</w:t>
      </w:r>
      <w:r>
        <w:rPr>
          <w:rFonts w:ascii="仿宋_GB2312" w:eastAsia="仿宋_GB2312" w:hAnsi="仿宋_GB2312" w:cs="仿宋_GB2312" w:hint="eastAsia"/>
          <w:color w:val="000000"/>
          <w:kern w:val="0"/>
          <w:sz w:val="32"/>
          <w:szCs w:val="32"/>
        </w:rPr>
        <w:t>2020年完成与苏州幼专</w:t>
      </w:r>
      <w:r>
        <w:rPr>
          <w:rFonts w:ascii="仿宋_GB2312" w:eastAsia="仿宋_GB2312" w:hAnsi="仿宋_GB2312" w:cs="仿宋_GB2312"/>
          <w:color w:val="000000"/>
          <w:kern w:val="0"/>
          <w:sz w:val="32"/>
          <w:szCs w:val="32"/>
        </w:rPr>
        <w:t>、</w:t>
      </w:r>
      <w:r>
        <w:rPr>
          <w:rFonts w:ascii="仿宋_GB2312" w:eastAsia="仿宋_GB2312" w:hAnsi="楷体" w:hint="eastAsia"/>
          <w:color w:val="000000"/>
          <w:kern w:val="0"/>
          <w:sz w:val="32"/>
          <w:szCs w:val="32"/>
        </w:rPr>
        <w:t>宋庆龄基金会机关实验幼儿园</w:t>
      </w:r>
      <w:r>
        <w:rPr>
          <w:rFonts w:ascii="仿宋_GB2312" w:eastAsia="仿宋_GB2312" w:hAnsi="仿宋_GB2312" w:cs="仿宋_GB2312" w:hint="eastAsia"/>
          <w:color w:val="000000"/>
          <w:kern w:val="0"/>
          <w:sz w:val="32"/>
          <w:szCs w:val="32"/>
        </w:rPr>
        <w:t>合作办园的签约。</w:t>
      </w:r>
      <w:r>
        <w:rPr>
          <w:rFonts w:ascii="仿宋_GB2312" w:eastAsia="仿宋_GB2312" w:hAnsi="仿宋_GB2312" w:cs="仿宋_GB2312" w:hint="eastAsia"/>
          <w:color w:val="000000"/>
          <w:sz w:val="32"/>
          <w:szCs w:val="32"/>
        </w:rPr>
        <w:t>探索公建民营模式，通过政府补贴方式创办普惠性民办幼儿园。</w:t>
      </w:r>
    </w:p>
    <w:p w14:paraId="55A3B4E6" w14:textId="77777777" w:rsidR="006362A7" w:rsidRDefault="00376903">
      <w:pPr>
        <w:spacing w:line="540" w:lineRule="exact"/>
        <w:ind w:firstLineChars="200" w:firstLine="640"/>
        <w:rPr>
          <w:rFonts w:ascii="仿宋_GB2312" w:eastAsia="仿宋_GB2312" w:hAnsi="仿宋_GB2312" w:cs="仿宋_GB2312"/>
          <w:color w:val="000000"/>
          <w:sz w:val="32"/>
          <w:szCs w:val="32"/>
        </w:rPr>
      </w:pPr>
      <w:bookmarkStart w:id="54" w:name="_Toc22280"/>
      <w:bookmarkStart w:id="55" w:name="_Toc1567"/>
      <w:bookmarkStart w:id="56" w:name="_Toc3321"/>
      <w:bookmarkStart w:id="57" w:name="_Toc9210"/>
      <w:r>
        <w:rPr>
          <w:rFonts w:ascii="仿宋_GB2312" w:eastAsia="仿宋_GB2312" w:hAnsi="仿宋_GB2312" w:cs="仿宋_GB2312" w:hint="eastAsia"/>
          <w:color w:val="000000"/>
          <w:sz w:val="32"/>
          <w:szCs w:val="32"/>
        </w:rPr>
        <w:t>8.组织建设不断强化</w:t>
      </w:r>
      <w:bookmarkEnd w:id="54"/>
      <w:bookmarkEnd w:id="55"/>
      <w:bookmarkEnd w:id="56"/>
      <w:bookmarkEnd w:id="57"/>
    </w:p>
    <w:p w14:paraId="045FCDE6" w14:textId="77777777" w:rsidR="006362A7" w:rsidRDefault="00376903">
      <w:pPr>
        <w:pStyle w:val="a0"/>
        <w:snapToGrid/>
        <w:spacing w:line="54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以“六化”建设为抓手，推进组织体系标准化建设。做强“一校一品”党建文化项目，1所学校获评江苏省品牌项目，5所学校获评苏州市品牌项目。</w:t>
      </w:r>
      <w:proofErr w:type="gramStart"/>
      <w:r>
        <w:rPr>
          <w:rFonts w:ascii="仿宋_GB2312" w:eastAsia="仿宋_GB2312" w:hAnsi="仿宋_GB2312" w:cs="仿宋_GB2312" w:hint="eastAsia"/>
          <w:color w:val="000000"/>
          <w:sz w:val="32"/>
          <w:szCs w:val="32"/>
        </w:rPr>
        <w:t>做亮“红烛先锋”</w:t>
      </w:r>
      <w:proofErr w:type="gramEnd"/>
      <w:r>
        <w:rPr>
          <w:rFonts w:ascii="仿宋_GB2312" w:eastAsia="仿宋_GB2312" w:hAnsi="仿宋_GB2312" w:cs="仿宋_GB2312" w:hint="eastAsia"/>
          <w:color w:val="000000"/>
          <w:sz w:val="32"/>
          <w:szCs w:val="32"/>
        </w:rPr>
        <w:t>党建品牌，成立“红烛先锋志愿者队伍”，1451名在职党员教师结对困难学生1620名。新冠肺炎疫情防控期间，4000余人次参加志愿工作，近500名骨干教师上</w:t>
      </w:r>
      <w:proofErr w:type="gramStart"/>
      <w:r>
        <w:rPr>
          <w:rFonts w:ascii="仿宋_GB2312" w:eastAsia="仿宋_GB2312" w:hAnsi="仿宋_GB2312" w:cs="仿宋_GB2312" w:hint="eastAsia"/>
          <w:color w:val="000000"/>
          <w:sz w:val="32"/>
          <w:szCs w:val="32"/>
        </w:rPr>
        <w:t>传区域课</w:t>
      </w:r>
      <w:proofErr w:type="gramEnd"/>
      <w:r>
        <w:rPr>
          <w:rFonts w:ascii="仿宋_GB2312" w:eastAsia="仿宋_GB2312" w:hAnsi="仿宋_GB2312" w:cs="仿宋_GB2312" w:hint="eastAsia"/>
          <w:color w:val="000000"/>
          <w:sz w:val="32"/>
          <w:szCs w:val="32"/>
        </w:rPr>
        <w:t>2165节，帮助80名学生</w:t>
      </w:r>
      <w:proofErr w:type="gramStart"/>
      <w:r>
        <w:rPr>
          <w:rFonts w:ascii="仿宋_GB2312" w:eastAsia="仿宋_GB2312" w:hAnsi="仿宋_GB2312" w:cs="仿宋_GB2312" w:hint="eastAsia"/>
          <w:color w:val="000000"/>
          <w:sz w:val="32"/>
          <w:szCs w:val="32"/>
        </w:rPr>
        <w:t>解决线</w:t>
      </w:r>
      <w:proofErr w:type="gramEnd"/>
      <w:r>
        <w:rPr>
          <w:rFonts w:ascii="仿宋_GB2312" w:eastAsia="仿宋_GB2312" w:hAnsi="仿宋_GB2312" w:cs="仿宋_GB2312" w:hint="eastAsia"/>
          <w:color w:val="000000"/>
          <w:sz w:val="32"/>
          <w:szCs w:val="32"/>
        </w:rPr>
        <w:t>上学习困难。</w:t>
      </w:r>
      <w:bookmarkStart w:id="58" w:name="_Toc4235"/>
      <w:bookmarkStart w:id="59" w:name="_Toc25013"/>
    </w:p>
    <w:p w14:paraId="6A6AAB12" w14:textId="77777777" w:rsidR="006362A7" w:rsidRDefault="00376903">
      <w:pPr>
        <w:pStyle w:val="a0"/>
        <w:snapToGrid/>
        <w:spacing w:line="540" w:lineRule="exact"/>
        <w:ind w:firstLineChars="200" w:firstLine="640"/>
        <w:jc w:val="both"/>
        <w:outlineLvl w:val="1"/>
        <w:rPr>
          <w:rFonts w:ascii="楷体" w:eastAsia="楷体" w:hAnsi="楷体" w:cs="楷体"/>
          <w:sz w:val="32"/>
          <w:szCs w:val="32"/>
        </w:rPr>
      </w:pPr>
      <w:bookmarkStart w:id="60" w:name="_Toc20820"/>
      <w:r>
        <w:rPr>
          <w:rFonts w:ascii="楷体" w:eastAsia="楷体" w:hAnsi="楷体" w:cs="楷体" w:hint="eastAsia"/>
          <w:color w:val="000000"/>
          <w:sz w:val="32"/>
          <w:szCs w:val="32"/>
        </w:rPr>
        <w:t>（二）</w:t>
      </w:r>
      <w:r>
        <w:rPr>
          <w:rFonts w:ascii="楷体" w:eastAsia="楷体" w:hAnsi="楷体" w:cs="楷体" w:hint="eastAsia"/>
          <w:sz w:val="32"/>
          <w:szCs w:val="32"/>
        </w:rPr>
        <w:t>主要问题</w:t>
      </w:r>
      <w:bookmarkEnd w:id="58"/>
      <w:bookmarkEnd w:id="59"/>
      <w:bookmarkEnd w:id="60"/>
    </w:p>
    <w:p w14:paraId="1931CC6D"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当前我区教育在体制机制改革创新、高品质教育的培育发展以及教育服务经济产业发展能力等方面，与经济高质量发展新要求和人民群众对教育的新</w:t>
      </w:r>
      <w:proofErr w:type="gramStart"/>
      <w:r>
        <w:rPr>
          <w:rFonts w:ascii="仿宋_GB2312" w:eastAsia="仿宋_GB2312" w:hAnsi="仿宋_GB2312" w:cs="仿宋_GB2312" w:hint="eastAsia"/>
          <w:sz w:val="32"/>
          <w:szCs w:val="32"/>
        </w:rPr>
        <w:t>期待仍</w:t>
      </w:r>
      <w:proofErr w:type="gramEnd"/>
      <w:r>
        <w:rPr>
          <w:rFonts w:ascii="仿宋_GB2312" w:eastAsia="仿宋_GB2312" w:hAnsi="仿宋_GB2312" w:cs="仿宋_GB2312" w:hint="eastAsia"/>
          <w:sz w:val="32"/>
          <w:szCs w:val="32"/>
        </w:rPr>
        <w:t>有较大差距，主要表现在以下四个方面：</w:t>
      </w:r>
    </w:p>
    <w:p w14:paraId="267C20E1" w14:textId="77777777" w:rsidR="006362A7" w:rsidRDefault="00376903">
      <w:pPr>
        <w:spacing w:line="54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一是教育资源供需存在矛盾。学前、小学资源不足，大</w:t>
      </w:r>
      <w:r>
        <w:rPr>
          <w:rFonts w:ascii="仿宋_GB2312" w:eastAsia="仿宋_GB2312" w:hAnsi="仿宋_GB2312" w:cs="仿宋_GB2312" w:hint="eastAsia"/>
          <w:color w:val="000000" w:themeColor="text1"/>
          <w:sz w:val="32"/>
          <w:szCs w:val="32"/>
        </w:rPr>
        <w:lastRenderedPageBreak/>
        <w:t>校额大班额等现象比较突出。随着学龄人口高峰的推移，初中、高中也逐步呈现学位不足的问题。</w:t>
      </w:r>
    </w:p>
    <w:p w14:paraId="030622D2" w14:textId="77777777" w:rsidR="006362A7" w:rsidRDefault="00376903">
      <w:pPr>
        <w:spacing w:line="54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二是教育结构不够完善。学校布局不合理、板块分布不均衡等问题依然存在。区域内只有一所职业学校，高等院校少，专业设置、人才培养尚不能与经济社会高质量发展相契合。</w:t>
      </w:r>
    </w:p>
    <w:p w14:paraId="1D7285EB" w14:textId="77777777" w:rsidR="006362A7" w:rsidRDefault="00376903">
      <w:pPr>
        <w:spacing w:line="54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三是教师队伍不够强大。教师结构性缺额问题依然突出，幼儿园、小学和职业学校教师数量缺额较大；初、高中教师年龄偏大，学科间教师分布不平衡；干部队伍梯队建设不理想，年轻干部不足。</w:t>
      </w:r>
    </w:p>
    <w:p w14:paraId="4D88419E" w14:textId="77777777" w:rsidR="006362A7" w:rsidRDefault="00376903">
      <w:pPr>
        <w:spacing w:line="540" w:lineRule="exact"/>
        <w:ind w:firstLineChars="200" w:firstLine="640"/>
        <w:rPr>
          <w:rFonts w:ascii="楷体" w:eastAsia="楷体" w:hAnsi="楷体" w:cs="楷体"/>
          <w:sz w:val="32"/>
          <w:szCs w:val="32"/>
        </w:rPr>
      </w:pPr>
      <w:r>
        <w:rPr>
          <w:rFonts w:ascii="仿宋_GB2312" w:eastAsia="仿宋_GB2312" w:hAnsi="仿宋_GB2312" w:cs="仿宋_GB2312" w:hint="eastAsia"/>
          <w:sz w:val="32"/>
          <w:szCs w:val="32"/>
        </w:rPr>
        <w:t>四是品牌建设力度不足。区域内缺少质量上乘有影响力的领军学校，区内优秀学生外流现象仍然存在，普通高中整体教学质量仍处于</w:t>
      </w:r>
      <w:proofErr w:type="gramStart"/>
      <w:r>
        <w:rPr>
          <w:rFonts w:ascii="仿宋_GB2312" w:eastAsia="仿宋_GB2312" w:hAnsi="仿宋_GB2312" w:cs="仿宋_GB2312" w:hint="eastAsia"/>
          <w:sz w:val="32"/>
          <w:szCs w:val="32"/>
        </w:rPr>
        <w:t>全市较</w:t>
      </w:r>
      <w:proofErr w:type="gramEnd"/>
      <w:r>
        <w:rPr>
          <w:rFonts w:ascii="仿宋_GB2312" w:eastAsia="仿宋_GB2312" w:hAnsi="仿宋_GB2312" w:cs="仿宋_GB2312" w:hint="eastAsia"/>
          <w:sz w:val="32"/>
          <w:szCs w:val="32"/>
        </w:rPr>
        <w:t>低水平，“双一流”高校录取人数没有质的突破，高分段人数对比其他区域存在明显差距。</w:t>
      </w:r>
      <w:bookmarkStart w:id="61" w:name="_Toc6612"/>
      <w:bookmarkStart w:id="62" w:name="_Toc7141"/>
      <w:bookmarkStart w:id="63" w:name="_Toc24637"/>
      <w:bookmarkStart w:id="64" w:name="_Toc18562"/>
    </w:p>
    <w:p w14:paraId="7F4A328C" w14:textId="77777777" w:rsidR="006362A7" w:rsidRDefault="00376903">
      <w:pPr>
        <w:numPr>
          <w:ilvl w:val="0"/>
          <w:numId w:val="2"/>
        </w:numPr>
        <w:spacing w:line="540" w:lineRule="exact"/>
        <w:ind w:firstLineChars="200" w:firstLine="640"/>
        <w:outlineLvl w:val="0"/>
        <w:rPr>
          <w:rFonts w:ascii="黑体" w:eastAsia="黑体" w:hAnsi="黑体" w:cs="黑体"/>
          <w:sz w:val="32"/>
          <w:szCs w:val="32"/>
        </w:rPr>
      </w:pPr>
      <w:bookmarkStart w:id="65" w:name="_Toc25139"/>
      <w:r>
        <w:rPr>
          <w:rFonts w:ascii="黑体" w:eastAsia="黑体" w:hAnsi="黑体" w:cs="黑体" w:hint="eastAsia"/>
          <w:sz w:val="32"/>
          <w:szCs w:val="32"/>
        </w:rPr>
        <w:t>“十四五”教育事业发展总体战略</w:t>
      </w:r>
      <w:bookmarkEnd w:id="61"/>
      <w:bookmarkEnd w:id="62"/>
      <w:bookmarkEnd w:id="63"/>
      <w:bookmarkEnd w:id="64"/>
      <w:bookmarkEnd w:id="65"/>
    </w:p>
    <w:p w14:paraId="5C821121" w14:textId="77777777" w:rsidR="006362A7" w:rsidRDefault="00376903">
      <w:pPr>
        <w:numPr>
          <w:ilvl w:val="0"/>
          <w:numId w:val="3"/>
        </w:numPr>
        <w:spacing w:line="540" w:lineRule="exact"/>
        <w:ind w:firstLineChars="200" w:firstLine="640"/>
        <w:outlineLvl w:val="1"/>
        <w:rPr>
          <w:rFonts w:ascii="楷体" w:eastAsia="楷体" w:hAnsi="楷体" w:cs="楷体"/>
          <w:sz w:val="32"/>
          <w:szCs w:val="32"/>
        </w:rPr>
      </w:pPr>
      <w:bookmarkStart w:id="66" w:name="_Toc15562"/>
      <w:bookmarkStart w:id="67" w:name="_Toc17709"/>
      <w:bookmarkStart w:id="68" w:name="_Toc23465"/>
      <w:r>
        <w:rPr>
          <w:rFonts w:ascii="楷体" w:eastAsia="楷体" w:hAnsi="楷体" w:cs="楷体" w:hint="eastAsia"/>
          <w:sz w:val="32"/>
          <w:szCs w:val="32"/>
        </w:rPr>
        <w:t>形势分析</w:t>
      </w:r>
      <w:bookmarkEnd w:id="66"/>
      <w:bookmarkEnd w:id="67"/>
      <w:bookmarkEnd w:id="68"/>
    </w:p>
    <w:p w14:paraId="04D80AF7" w14:textId="77777777" w:rsidR="006362A7" w:rsidRDefault="00376903">
      <w:pPr>
        <w:pStyle w:val="a5"/>
        <w:spacing w:before="13" w:line="540" w:lineRule="exact"/>
        <w:ind w:right="121" w:firstLineChars="200" w:firstLine="640"/>
        <w:rPr>
          <w:rFonts w:ascii="仿宋_GB2312" w:eastAsia="仿宋_GB2312" w:hAnsi="仿宋_GB2312" w:cs="仿宋_GB2312"/>
          <w:color w:val="000000"/>
          <w:sz w:val="32"/>
          <w:szCs w:val="32"/>
          <w:lang w:val="en-US"/>
        </w:rPr>
      </w:pPr>
      <w:r>
        <w:rPr>
          <w:rFonts w:ascii="仿宋_GB2312" w:eastAsia="仿宋_GB2312" w:hAnsi="仿宋_GB2312" w:cs="仿宋_GB2312" w:hint="eastAsia"/>
          <w:color w:val="000000"/>
          <w:sz w:val="32"/>
          <w:szCs w:val="32"/>
        </w:rPr>
        <w:t>“十四五”时期是我国全面建成小康社会、实现第一个百年奋斗目标之后，乘势而上开启全面建设社会主义现代化国家新征程、向第二个百年奋斗目标进军的第一个五年，随着我国经济社会发展步入新时代，相城</w:t>
      </w:r>
      <w:r>
        <w:rPr>
          <w:rFonts w:ascii="仿宋_GB2312" w:eastAsia="仿宋_GB2312" w:hAnsi="仿宋_GB2312" w:cs="仿宋_GB2312" w:hint="eastAsia"/>
          <w:color w:val="000000"/>
          <w:sz w:val="32"/>
          <w:szCs w:val="32"/>
          <w:lang w:val="en-US"/>
        </w:rPr>
        <w:t>的</w:t>
      </w:r>
      <w:r>
        <w:rPr>
          <w:rFonts w:ascii="仿宋_GB2312" w:eastAsia="仿宋_GB2312" w:hAnsi="仿宋_GB2312" w:cs="仿宋_GB2312" w:hint="eastAsia"/>
          <w:color w:val="000000"/>
          <w:sz w:val="32"/>
          <w:szCs w:val="32"/>
        </w:rPr>
        <w:t>发展也掀开了新篇章。长三角区域一体化发展、长江经济带发展、“一带一路”建设等国家战略在苏州叠加交汇，加快打造国家级高铁枢纽、中日(苏州)地方发展合作示范区成功获批、长三角数字货币研究院正式运营、虹桥-相城一体化格局</w:t>
      </w:r>
      <w:r>
        <w:rPr>
          <w:rFonts w:ascii="仿宋_GB2312" w:eastAsia="仿宋_GB2312" w:hAnsi="仿宋_GB2312" w:cs="仿宋_GB2312" w:hint="eastAsia"/>
          <w:color w:val="000000"/>
          <w:sz w:val="32"/>
          <w:szCs w:val="32"/>
          <w:lang w:val="en-US"/>
        </w:rPr>
        <w:t>深入推进</w:t>
      </w:r>
      <w:r>
        <w:rPr>
          <w:rFonts w:ascii="仿宋_GB2312" w:eastAsia="仿宋_GB2312" w:hAnsi="仿宋_GB2312" w:cs="仿宋_GB2312" w:hint="eastAsia"/>
          <w:color w:val="000000"/>
          <w:sz w:val="32"/>
          <w:szCs w:val="32"/>
        </w:rPr>
        <w:t>，使得相城赢得了“四大</w:t>
      </w:r>
      <w:r>
        <w:rPr>
          <w:rFonts w:ascii="仿宋_GB2312" w:eastAsia="仿宋_GB2312" w:hAnsi="仿宋_GB2312" w:cs="仿宋_GB2312" w:hint="eastAsia"/>
          <w:color w:val="000000"/>
          <w:sz w:val="32"/>
          <w:szCs w:val="32"/>
          <w:lang w:val="en-US"/>
        </w:rPr>
        <w:t>国家级</w:t>
      </w:r>
      <w:r>
        <w:rPr>
          <w:rFonts w:ascii="仿宋_GB2312" w:eastAsia="仿宋_GB2312" w:hAnsi="仿宋_GB2312" w:cs="仿宋_GB2312" w:hint="eastAsia"/>
          <w:color w:val="000000"/>
          <w:sz w:val="32"/>
          <w:szCs w:val="32"/>
        </w:rPr>
        <w:t>战略优势”，</w:t>
      </w:r>
      <w:r>
        <w:rPr>
          <w:rFonts w:ascii="仿宋_GB2312" w:eastAsia="仿宋_GB2312" w:hAnsi="仿宋_GB2312" w:cs="仿宋_GB2312" w:hint="eastAsia"/>
          <w:color w:val="000000"/>
          <w:sz w:val="32"/>
          <w:szCs w:val="32"/>
        </w:rPr>
        <w:lastRenderedPageBreak/>
        <w:t>相城进入大有可为的发展机遇期。</w:t>
      </w:r>
      <w:r>
        <w:rPr>
          <w:rFonts w:ascii="仿宋_GB2312" w:eastAsia="仿宋_GB2312" w:hAnsi="仿宋_GB2312" w:cs="仿宋_GB2312" w:hint="eastAsia"/>
          <w:color w:val="000000"/>
          <w:sz w:val="32"/>
          <w:szCs w:val="32"/>
          <w:lang w:val="en-US"/>
        </w:rPr>
        <w:t>教育作为重要的民生事业，必须与相城高质量跨越式发展齐头并进，为相城经济社会发展提供坚实的人才支撑和智力支持。</w:t>
      </w:r>
    </w:p>
    <w:p w14:paraId="6F294F63" w14:textId="77777777" w:rsidR="006362A7" w:rsidRDefault="00376903">
      <w:pPr>
        <w:pStyle w:val="a5"/>
        <w:spacing w:before="13" w:line="540" w:lineRule="exact"/>
        <w:ind w:right="121" w:firstLineChars="200" w:firstLine="643"/>
        <w:rPr>
          <w:rFonts w:ascii="仿宋_GB2312" w:eastAsia="仿宋_GB2312" w:hAnsi="仿宋_GB2312" w:cs="仿宋_GB2312"/>
          <w:color w:val="000000"/>
          <w:sz w:val="32"/>
          <w:szCs w:val="32"/>
          <w:lang w:val="en-US" w:bidi="ar-SA"/>
        </w:rPr>
      </w:pPr>
      <w:r>
        <w:rPr>
          <w:rFonts w:ascii="仿宋_GB2312" w:eastAsia="仿宋_GB2312" w:hAnsi="仿宋_GB2312" w:cs="仿宋_GB2312" w:hint="eastAsia"/>
          <w:b/>
          <w:bCs/>
          <w:color w:val="000000"/>
          <w:sz w:val="32"/>
          <w:szCs w:val="32"/>
          <w:lang w:val="en-US" w:bidi="ar-SA"/>
        </w:rPr>
        <w:t>一是战略定位需要强化人力资源支撑。</w:t>
      </w:r>
      <w:r>
        <w:rPr>
          <w:rFonts w:ascii="仿宋_GB2312" w:eastAsia="仿宋_GB2312" w:hAnsi="仿宋_GB2312" w:cs="仿宋_GB2312" w:hint="eastAsia"/>
          <w:color w:val="000000"/>
          <w:sz w:val="32"/>
          <w:szCs w:val="32"/>
          <w:lang w:val="en-US" w:bidi="ar-SA"/>
        </w:rPr>
        <w:t>相城正着力构建</w:t>
      </w:r>
      <w:r>
        <w:rPr>
          <w:rFonts w:ascii="仿宋_GB2312" w:eastAsia="仿宋_GB2312" w:hAnsi="仿宋_GB2312" w:cs="仿宋_GB2312"/>
          <w:color w:val="000000"/>
          <w:sz w:val="32"/>
          <w:szCs w:val="32"/>
          <w:lang w:val="en-US" w:bidi="ar-SA"/>
        </w:rPr>
        <w:t>“3+6”现代产业体系</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lang w:val="en-US" w:bidi="ar-SA"/>
        </w:rPr>
        <w:t>全区经济结构调整和企业转型升级步伐加快，经济高质量发展迫切需要更多高层次、高素质人才梯队的支撑。教育的基础性、先导性作用日益凸显，对教育体系完整性、教育结构适应性的要求更加迫切，高层次研发人才、管理人才集聚，对教育多元化、个性化的需求更加强烈。</w:t>
      </w:r>
    </w:p>
    <w:p w14:paraId="1ED788DF" w14:textId="77777777" w:rsidR="006362A7" w:rsidRDefault="00376903">
      <w:pPr>
        <w:pStyle w:val="a5"/>
        <w:spacing w:before="13" w:line="540" w:lineRule="exact"/>
        <w:ind w:right="121" w:firstLineChars="200" w:firstLine="643"/>
        <w:rPr>
          <w:rFonts w:ascii="仿宋_GB2312" w:eastAsia="仿宋_GB2312" w:hAnsi="仿宋_GB2312" w:cs="仿宋_GB2312"/>
          <w:color w:val="000000"/>
          <w:sz w:val="32"/>
          <w:szCs w:val="32"/>
          <w:lang w:val="en-US" w:bidi="ar-SA"/>
        </w:rPr>
      </w:pPr>
      <w:r>
        <w:rPr>
          <w:rFonts w:ascii="仿宋_GB2312" w:eastAsia="仿宋_GB2312" w:hAnsi="仿宋_GB2312" w:cs="仿宋_GB2312" w:hint="eastAsia"/>
          <w:b/>
          <w:bCs/>
          <w:color w:val="000000"/>
          <w:sz w:val="32"/>
          <w:szCs w:val="32"/>
          <w:lang w:val="en-US" w:bidi="ar-SA"/>
        </w:rPr>
        <w:t>二是学龄人口变化需要优化教育资源配置。</w:t>
      </w:r>
      <w:r>
        <w:rPr>
          <w:rFonts w:ascii="仿宋_GB2312" w:eastAsia="仿宋_GB2312" w:hAnsi="仿宋_GB2312" w:cs="仿宋_GB2312" w:hint="eastAsia"/>
          <w:color w:val="000000"/>
          <w:sz w:val="32"/>
          <w:szCs w:val="32"/>
          <w:lang w:val="en-US" w:bidi="ar-SA"/>
        </w:rPr>
        <w:t>随着城乡和区域之间人口流动加大，二孩政策的全面放开，相城区常住人口规模不断扩大，学龄人口持续增长将是“十四五”时期教育发展面临的基本态势，增长趋势逐步从学前、小学向初中、高中传递。多年来学校建设滞后于房地产开发造成部分区域教育资源存在缺口的问题仍未得到根本解决。学龄人口增长带来的增量学位缺口与学校建设滞后造成的存量学位不足叠加，资源供给面临一定压力。</w:t>
      </w:r>
    </w:p>
    <w:p w14:paraId="4DAA88E2" w14:textId="77777777" w:rsidR="006362A7" w:rsidRDefault="00376903">
      <w:pPr>
        <w:pStyle w:val="a5"/>
        <w:spacing w:before="13" w:line="540" w:lineRule="exact"/>
        <w:ind w:right="121" w:firstLineChars="200" w:firstLine="643"/>
        <w:rPr>
          <w:rFonts w:ascii="仿宋_GB2312" w:eastAsia="仿宋_GB2312" w:hAnsi="仿宋_GB2312" w:cs="仿宋_GB2312"/>
          <w:color w:val="000000"/>
          <w:sz w:val="32"/>
          <w:szCs w:val="32"/>
          <w:lang w:val="en-US" w:bidi="ar-SA"/>
        </w:rPr>
      </w:pPr>
      <w:r>
        <w:rPr>
          <w:rFonts w:ascii="仿宋_GB2312" w:eastAsia="仿宋_GB2312" w:hAnsi="仿宋_GB2312" w:cs="仿宋_GB2312" w:hint="eastAsia"/>
          <w:b/>
          <w:bCs/>
          <w:color w:val="000000"/>
          <w:sz w:val="32"/>
          <w:szCs w:val="32"/>
          <w:lang w:val="en-US" w:bidi="ar-SA"/>
        </w:rPr>
        <w:t>三是相城发展需要高质量教育。</w:t>
      </w:r>
      <w:r>
        <w:rPr>
          <w:rFonts w:ascii="仿宋_GB2312" w:eastAsia="仿宋_GB2312" w:hAnsi="仿宋_GB2312" w:cs="仿宋_GB2312" w:hint="eastAsia"/>
          <w:color w:val="000000"/>
          <w:sz w:val="32"/>
          <w:szCs w:val="32"/>
          <w:lang w:val="en-US" w:bidi="ar-SA"/>
        </w:rPr>
        <w:t>当前我国社会的主要矛盾已经转化为人民日益增长的美好生活需要与不平衡不充分的发展之间的矛盾。结合相城实际，人民群众对优质、公平、多元教育的需求日益强烈，学校的办学质量、社会对学校的满意度、美誉</w:t>
      </w:r>
      <w:proofErr w:type="gramStart"/>
      <w:r>
        <w:rPr>
          <w:rFonts w:ascii="仿宋_GB2312" w:eastAsia="仿宋_GB2312" w:hAnsi="仿宋_GB2312" w:cs="仿宋_GB2312" w:hint="eastAsia"/>
          <w:color w:val="000000"/>
          <w:sz w:val="32"/>
          <w:szCs w:val="32"/>
          <w:lang w:val="en-US" w:bidi="ar-SA"/>
        </w:rPr>
        <w:t>度成为</w:t>
      </w:r>
      <w:proofErr w:type="gramEnd"/>
      <w:r>
        <w:rPr>
          <w:rFonts w:ascii="仿宋_GB2312" w:eastAsia="仿宋_GB2312" w:hAnsi="仿宋_GB2312" w:cs="仿宋_GB2312" w:hint="eastAsia"/>
          <w:color w:val="000000"/>
          <w:sz w:val="32"/>
          <w:szCs w:val="32"/>
          <w:lang w:val="en-US" w:bidi="ar-SA"/>
        </w:rPr>
        <w:t>区域竞争力的重要因素。不断扩大优质教育资源,提供多元化教育供给，努力办好百姓家门口的学校成为教育高质量发展的必然路径。</w:t>
      </w:r>
    </w:p>
    <w:p w14:paraId="225236F2" w14:textId="77777777" w:rsidR="006362A7" w:rsidRDefault="00376903">
      <w:pPr>
        <w:pStyle w:val="a5"/>
        <w:spacing w:before="13" w:line="540" w:lineRule="exact"/>
        <w:ind w:right="121" w:firstLineChars="200" w:firstLine="643"/>
        <w:rPr>
          <w:rFonts w:ascii="楷体" w:eastAsia="楷体" w:hAnsi="楷体" w:cs="楷体"/>
          <w:sz w:val="32"/>
          <w:szCs w:val="32"/>
          <w:lang w:val="en-US"/>
        </w:rPr>
      </w:pPr>
      <w:r>
        <w:rPr>
          <w:rFonts w:ascii="仿宋_GB2312" w:eastAsia="仿宋_GB2312" w:hAnsi="仿宋_GB2312" w:cs="仿宋_GB2312" w:hint="eastAsia"/>
          <w:b/>
          <w:bCs/>
          <w:color w:val="000000"/>
          <w:sz w:val="32"/>
          <w:szCs w:val="32"/>
          <w:lang w:val="en-US" w:bidi="ar-SA"/>
        </w:rPr>
        <w:lastRenderedPageBreak/>
        <w:t>四是技术变革需要创新传统教育模式。</w:t>
      </w:r>
      <w:r>
        <w:rPr>
          <w:rFonts w:ascii="仿宋_GB2312" w:eastAsia="仿宋_GB2312" w:hAnsi="仿宋_GB2312" w:cs="仿宋_GB2312" w:hint="eastAsia"/>
          <w:color w:val="000000"/>
          <w:sz w:val="32"/>
          <w:szCs w:val="32"/>
          <w:lang w:val="en-US" w:bidi="ar-SA"/>
        </w:rPr>
        <w:t>当今世界新一轮科技革命和产业变革日新月异，随着信息技术与人工智能的发展，特别是常态化疫情防控的需要，学生的学习方式正在发生深刻改变。迫切需要创新教育理念和教育模式,发挥在线教育优势，开发优质网络教育资源,加快构建以学习者为中心的教育新生态。</w:t>
      </w:r>
    </w:p>
    <w:p w14:paraId="4712AA85" w14:textId="77777777" w:rsidR="006362A7" w:rsidRDefault="00376903">
      <w:pPr>
        <w:numPr>
          <w:ilvl w:val="0"/>
          <w:numId w:val="3"/>
        </w:numPr>
        <w:spacing w:line="540" w:lineRule="exact"/>
        <w:ind w:firstLineChars="200" w:firstLine="640"/>
        <w:outlineLvl w:val="1"/>
        <w:rPr>
          <w:rFonts w:ascii="楷体" w:eastAsia="楷体" w:hAnsi="楷体" w:cs="楷体"/>
          <w:sz w:val="32"/>
          <w:szCs w:val="32"/>
        </w:rPr>
      </w:pPr>
      <w:bookmarkStart w:id="69" w:name="_Toc18542"/>
      <w:bookmarkStart w:id="70" w:name="_Toc7897"/>
      <w:bookmarkStart w:id="71" w:name="_Toc27681"/>
      <w:bookmarkStart w:id="72" w:name="_Toc1086"/>
      <w:r>
        <w:rPr>
          <w:rFonts w:ascii="楷体" w:eastAsia="楷体" w:hAnsi="楷体" w:cs="楷体" w:hint="eastAsia"/>
          <w:sz w:val="32"/>
          <w:szCs w:val="32"/>
        </w:rPr>
        <w:t>指导思想</w:t>
      </w:r>
      <w:bookmarkEnd w:id="69"/>
      <w:bookmarkEnd w:id="70"/>
      <w:bookmarkEnd w:id="71"/>
      <w:bookmarkEnd w:id="72"/>
    </w:p>
    <w:p w14:paraId="32248A88" w14:textId="77777777" w:rsidR="006362A7" w:rsidRDefault="00376903">
      <w:pPr>
        <w:spacing w:line="540" w:lineRule="exact"/>
        <w:ind w:firstLineChars="200" w:firstLine="640"/>
        <w:rPr>
          <w:rFonts w:ascii="仿宋" w:eastAsia="仿宋" w:hAnsi="仿宋" w:cs="仿宋"/>
          <w:sz w:val="32"/>
          <w:szCs w:val="32"/>
        </w:rPr>
      </w:pPr>
      <w:r>
        <w:rPr>
          <w:rFonts w:ascii="仿宋_GB2312" w:eastAsia="仿宋_GB2312" w:hAnsi="仿宋_GB2312" w:cs="仿宋_GB2312" w:hint="eastAsia"/>
          <w:color w:val="000000"/>
          <w:sz w:val="32"/>
          <w:szCs w:val="32"/>
        </w:rPr>
        <w:t>坚持以习近平新时代中国特色社会主义思想为指导，全面贯彻党的十九大及十九届二中、三中、四中、五中全会精神，认真落实党的教育方针，紧紧围绕“12345”战略思路，深入</w:t>
      </w:r>
      <w:proofErr w:type="gramStart"/>
      <w:r>
        <w:rPr>
          <w:rFonts w:ascii="仿宋_GB2312" w:eastAsia="仿宋_GB2312" w:hAnsi="仿宋_GB2312" w:cs="仿宋_GB2312" w:hint="eastAsia"/>
          <w:color w:val="000000"/>
          <w:sz w:val="32"/>
          <w:szCs w:val="32"/>
        </w:rPr>
        <w:t>对接长</w:t>
      </w:r>
      <w:proofErr w:type="gramEnd"/>
      <w:r>
        <w:rPr>
          <w:rFonts w:ascii="仿宋_GB2312" w:eastAsia="仿宋_GB2312" w:hAnsi="仿宋_GB2312" w:cs="仿宋_GB2312" w:hint="eastAsia"/>
          <w:color w:val="000000"/>
          <w:sz w:val="32"/>
          <w:szCs w:val="32"/>
        </w:rPr>
        <w:t>三角区域一体化发展战略，大力实施科教与人才强区</w:t>
      </w:r>
      <w:r>
        <w:rPr>
          <w:rFonts w:ascii="仿宋_GB2312" w:eastAsia="仿宋_GB2312" w:hAnsi="仿宋_GB2312" w:cs="仿宋_GB2312" w:hint="eastAsia"/>
          <w:sz w:val="32"/>
          <w:szCs w:val="32"/>
        </w:rPr>
        <w:t>战略，以立德树人为根本任务，以优质均衡发展为主题，以加快推进教育现代化为主线，以提高教育教学质量为核心，坚持改革创新，全面提升教育质量，全面提高教育服务经济高质量发展水平，为建设长三角一体化创新发展先导区、苏州市域新中心提供强有力的支撑。</w:t>
      </w:r>
    </w:p>
    <w:p w14:paraId="3EE3518F" w14:textId="77777777" w:rsidR="006362A7" w:rsidRDefault="00376903">
      <w:pPr>
        <w:numPr>
          <w:ilvl w:val="0"/>
          <w:numId w:val="3"/>
        </w:numPr>
        <w:spacing w:line="540" w:lineRule="exact"/>
        <w:ind w:firstLineChars="200" w:firstLine="640"/>
        <w:outlineLvl w:val="1"/>
        <w:rPr>
          <w:rFonts w:ascii="楷体" w:eastAsia="楷体" w:hAnsi="楷体" w:cs="楷体"/>
          <w:sz w:val="32"/>
          <w:szCs w:val="32"/>
        </w:rPr>
      </w:pPr>
      <w:bookmarkStart w:id="73" w:name="_Toc12003"/>
      <w:bookmarkStart w:id="74" w:name="_Toc13141"/>
      <w:bookmarkStart w:id="75" w:name="_Toc20913"/>
      <w:bookmarkStart w:id="76" w:name="_Toc16809"/>
      <w:r>
        <w:rPr>
          <w:rFonts w:ascii="楷体" w:eastAsia="楷体" w:hAnsi="楷体" w:cs="楷体" w:hint="eastAsia"/>
          <w:sz w:val="32"/>
          <w:szCs w:val="32"/>
        </w:rPr>
        <w:t>基本原则</w:t>
      </w:r>
      <w:bookmarkEnd w:id="73"/>
      <w:bookmarkEnd w:id="74"/>
      <w:bookmarkEnd w:id="75"/>
      <w:bookmarkEnd w:id="76"/>
    </w:p>
    <w:p w14:paraId="31BC9FBC"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坚持正确方向。全面加强党对教育工作的领导，充分体现党和国家对教育的基本要求，充分体现国家和民族基本价值观念，充分体现中国精神和民族风格，充分体现人类文化知识积累和创新成果，始终坚持社会主义办学方向，培养德智体美劳全面发展的社会主义建设者和接班人。</w:t>
      </w:r>
    </w:p>
    <w:p w14:paraId="2C48BF66"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2.坚持立德树人。牢记为党育人、为国育才使命，树立科学的教育质量观，把立德树人作为教育的根本任务，创新学校德育工作，不断提高学生思想水平、政治觉悟、道德品</w:t>
      </w:r>
      <w:r>
        <w:rPr>
          <w:rFonts w:ascii="仿宋_GB2312" w:eastAsia="仿宋_GB2312" w:hAnsi="仿宋_GB2312" w:cs="仿宋_GB2312" w:hint="eastAsia"/>
          <w:sz w:val="32"/>
          <w:szCs w:val="32"/>
        </w:rPr>
        <w:lastRenderedPageBreak/>
        <w:t>质、文化素养，教育学生明大德、守公德、严私德。</w:t>
      </w:r>
    </w:p>
    <w:p w14:paraId="7DE36632" w14:textId="77777777" w:rsidR="006362A7" w:rsidRDefault="00376903">
      <w:pPr>
        <w:spacing w:line="540" w:lineRule="exact"/>
        <w:ind w:firstLineChars="200" w:firstLine="640"/>
        <w:rPr>
          <w:rFonts w:ascii="仿宋" w:eastAsia="仿宋" w:hAnsi="仿宋" w:cs="仿宋"/>
          <w:sz w:val="32"/>
          <w:szCs w:val="32"/>
        </w:rPr>
      </w:pPr>
      <w:r>
        <w:rPr>
          <w:rFonts w:ascii="仿宋_GB2312" w:eastAsia="仿宋_GB2312" w:hAnsi="仿宋_GB2312" w:cs="仿宋_GB2312" w:hint="eastAsia"/>
          <w:sz w:val="32"/>
          <w:szCs w:val="32"/>
        </w:rPr>
        <w:t>3.坚持科学发展。坚持各级各类教育协调发展，提升教育与经济社会发展契合度，实现布局合理、结构优化，形态多元、产学结合的发展格局，打造充满吸引力、创造性和幸福感的教育生态。</w:t>
      </w:r>
    </w:p>
    <w:p w14:paraId="17D48A92"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4.坚持改革创新。改革培养模式、评价方式、办学体制、管理机制，创新教育理念、教学方法、教学手段，推动相城教育提水平、上层次。</w:t>
      </w:r>
    </w:p>
    <w:p w14:paraId="4FD4C700"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5.坚持合作开放。加强与国外友城、国际友好学校的务实合作，积极引进、聚集世界一流教育资源，主动融入长三角区域一体化发展，整体提升相城教育的国际化、优质化、多样化水平。</w:t>
      </w:r>
    </w:p>
    <w:p w14:paraId="30E31B2D" w14:textId="77777777" w:rsidR="006362A7" w:rsidRDefault="00376903">
      <w:pPr>
        <w:pStyle w:val="a0"/>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坚持面向未来。立足当前，着眼未来，遵循教育基本规律，积极主动地更新教育新理念，拥抱教育新技术，创新教育新方法。教育不仅要指向国家和民族发展的未来，也要指向每一个受教育者个体的未来，使人人都能获得充分、自由、和谐的发展。</w:t>
      </w:r>
    </w:p>
    <w:p w14:paraId="13964E77" w14:textId="77777777" w:rsidR="006362A7" w:rsidRDefault="00376903">
      <w:pPr>
        <w:spacing w:line="540" w:lineRule="exact"/>
        <w:ind w:firstLineChars="200" w:firstLine="640"/>
        <w:outlineLvl w:val="1"/>
        <w:rPr>
          <w:rFonts w:ascii="仿宋_GB2312" w:eastAsia="仿宋_GB2312" w:hAnsi="仿宋_GB2312" w:cs="仿宋_GB2312"/>
          <w:sz w:val="32"/>
          <w:szCs w:val="32"/>
        </w:rPr>
      </w:pPr>
      <w:bookmarkStart w:id="77" w:name="_Toc26188"/>
      <w:bookmarkStart w:id="78" w:name="_Toc11566"/>
      <w:bookmarkStart w:id="79" w:name="_Toc8945"/>
      <w:bookmarkStart w:id="80" w:name="_Toc26896"/>
      <w:r>
        <w:rPr>
          <w:rFonts w:ascii="楷体" w:eastAsia="楷体" w:hAnsi="楷体" w:cs="楷体" w:hint="eastAsia"/>
          <w:sz w:val="32"/>
          <w:szCs w:val="32"/>
        </w:rPr>
        <w:t>（四）发展目标</w:t>
      </w:r>
      <w:bookmarkStart w:id="81" w:name="_Toc30362"/>
      <w:bookmarkStart w:id="82" w:name="_Toc14063"/>
      <w:bookmarkStart w:id="83" w:name="_Toc8694"/>
      <w:bookmarkEnd w:id="77"/>
      <w:bookmarkEnd w:id="78"/>
      <w:bookmarkEnd w:id="79"/>
      <w:bookmarkEnd w:id="80"/>
    </w:p>
    <w:p w14:paraId="084CD8CA" w14:textId="77777777" w:rsidR="006362A7" w:rsidRDefault="00376903">
      <w:pPr>
        <w:spacing w:line="5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bookmarkEnd w:id="81"/>
      <w:bookmarkEnd w:id="82"/>
      <w:r>
        <w:rPr>
          <w:rFonts w:ascii="仿宋_GB2312" w:eastAsia="仿宋_GB2312" w:hAnsi="仿宋_GB2312" w:cs="仿宋_GB2312" w:hint="eastAsia"/>
          <w:b/>
          <w:bCs/>
          <w:sz w:val="32"/>
          <w:szCs w:val="32"/>
        </w:rPr>
        <w:t>总体目标</w:t>
      </w:r>
    </w:p>
    <w:p w14:paraId="072581A5" w14:textId="77777777" w:rsidR="006362A7" w:rsidRDefault="00376903">
      <w:pPr>
        <w:spacing w:line="540" w:lineRule="exact"/>
        <w:ind w:firstLineChars="200" w:firstLine="643"/>
        <w:rPr>
          <w:rFonts w:ascii="仿宋_GB2312" w:eastAsia="仿宋_GB2312" w:hAnsi="仿宋_GB2312" w:cs="仿宋_GB2312"/>
          <w:sz w:val="32"/>
          <w:szCs w:val="32"/>
        </w:rPr>
      </w:pPr>
      <w:r>
        <w:rPr>
          <w:rFonts w:ascii="Times New Roman" w:eastAsia="仿宋_GB2312" w:hAnsi="Times New Roman" w:hint="eastAsia"/>
          <w:b/>
          <w:bCs/>
          <w:sz w:val="32"/>
          <w:szCs w:val="32"/>
        </w:rPr>
        <w:t>积极</w:t>
      </w:r>
      <w:r>
        <w:rPr>
          <w:rFonts w:ascii="仿宋_GB2312" w:eastAsia="仿宋_GB2312" w:hAnsi="仿宋_GB2312" w:cs="仿宋_GB2312" w:hint="eastAsia"/>
          <w:b/>
          <w:bCs/>
          <w:sz w:val="32"/>
          <w:szCs w:val="32"/>
        </w:rPr>
        <w:t>融入长三角区域一体化，深入</w:t>
      </w:r>
      <w:r>
        <w:rPr>
          <w:rFonts w:ascii="仿宋_GB2312" w:eastAsia="仿宋_GB2312" w:hAnsi="仿宋_GB2312" w:cs="仿宋_GB2312" w:hint="eastAsia"/>
          <w:b/>
          <w:bCs/>
          <w:color w:val="000000"/>
          <w:sz w:val="32"/>
          <w:szCs w:val="32"/>
        </w:rPr>
        <w:t>推进教育现代化，促进相城教育高质量发展，增强教育服务经济社会发展能力。</w:t>
      </w:r>
      <w:bookmarkEnd w:id="83"/>
      <w:r>
        <w:rPr>
          <w:rFonts w:ascii="仿宋_GB2312" w:eastAsia="仿宋_GB2312" w:hAnsi="仿宋_GB2312" w:cs="仿宋_GB2312" w:hint="eastAsia"/>
          <w:color w:val="000000"/>
          <w:sz w:val="32"/>
          <w:szCs w:val="32"/>
        </w:rPr>
        <w:t>紧紧围绕“12345”战略思路及</w:t>
      </w:r>
      <w:r>
        <w:rPr>
          <w:rFonts w:ascii="仿宋_GB2312" w:eastAsia="仿宋_GB2312" w:hAnsi="仿宋_GB2312" w:cs="仿宋_GB2312" w:hint="eastAsia"/>
          <w:color w:val="000000"/>
          <w:sz w:val="32"/>
          <w:szCs w:val="40"/>
        </w:rPr>
        <w:t>“3+6”现代产业体系</w:t>
      </w:r>
      <w:r>
        <w:rPr>
          <w:rFonts w:ascii="仿宋_GB2312" w:eastAsia="仿宋_GB2312" w:hAnsi="仿宋_GB2312" w:cs="仿宋_GB2312" w:hint="eastAsia"/>
          <w:color w:val="000000"/>
          <w:sz w:val="32"/>
          <w:szCs w:val="32"/>
        </w:rPr>
        <w:t>，深入贯彻落实《〈长江三角洲区域一体化发展规划纲要〉相城实施方案》，积极服务中日（苏州）地方发展合作示范区建设，</w:t>
      </w:r>
      <w:proofErr w:type="gramStart"/>
      <w:r>
        <w:rPr>
          <w:rFonts w:ascii="仿宋_GB2312" w:eastAsia="仿宋_GB2312" w:hAnsi="仿宋_GB2312" w:cs="仿宋_GB2312" w:hint="eastAsia"/>
          <w:color w:val="000000"/>
          <w:sz w:val="32"/>
          <w:szCs w:val="32"/>
        </w:rPr>
        <w:t>探索长</w:t>
      </w:r>
      <w:proofErr w:type="gramEnd"/>
      <w:r>
        <w:rPr>
          <w:rFonts w:ascii="仿宋_GB2312" w:eastAsia="仿宋_GB2312" w:hAnsi="仿宋_GB2312" w:cs="仿宋_GB2312" w:hint="eastAsia"/>
          <w:color w:val="000000"/>
          <w:sz w:val="32"/>
          <w:szCs w:val="32"/>
        </w:rPr>
        <w:t>三角教育领域跨区域合作新模式。</w:t>
      </w:r>
      <w:r>
        <w:rPr>
          <w:rFonts w:ascii="仿宋_GB2312" w:eastAsia="仿宋_GB2312" w:hAnsi="仿宋_GB2312" w:cs="仿宋_GB2312" w:hint="eastAsia"/>
          <w:sz w:val="32"/>
          <w:szCs w:val="32"/>
        </w:rPr>
        <w:t>创建基础教育、职</w:t>
      </w:r>
      <w:r>
        <w:rPr>
          <w:rFonts w:ascii="仿宋_GB2312" w:eastAsia="仿宋_GB2312" w:hAnsi="仿宋_GB2312" w:cs="仿宋_GB2312" w:hint="eastAsia"/>
          <w:sz w:val="32"/>
          <w:szCs w:val="32"/>
        </w:rPr>
        <w:lastRenderedPageBreak/>
        <w:t>业教育和高等教育全覆盖的长三角教育一体化发展联盟（相城）基地。推动长三角区域校长教师学习交流。加大优质国际教育资源引进力度。提高职业学校专业设置与产业结构吻合度。推动与大学大院大所全面合作、协同创新。</w:t>
      </w:r>
      <w:bookmarkStart w:id="84" w:name="_Toc16098"/>
      <w:bookmarkStart w:id="85" w:name="_Toc21264"/>
      <w:bookmarkStart w:id="86" w:name="_Toc10559"/>
      <w:r>
        <w:rPr>
          <w:rFonts w:ascii="仿宋_GB2312" w:eastAsia="仿宋_GB2312" w:hAnsi="仿宋_GB2312" w:cs="仿宋_GB2312" w:hint="eastAsia"/>
          <w:sz w:val="32"/>
          <w:szCs w:val="32"/>
        </w:rPr>
        <w:t>坚持改革创新，提升教育质量，促进各级各类教育办出特色、争创一流。</w:t>
      </w:r>
    </w:p>
    <w:p w14:paraId="44EB5CA0" w14:textId="77777777" w:rsidR="006362A7" w:rsidRDefault="00376903">
      <w:pPr>
        <w:spacing w:line="5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2.具体目标</w:t>
      </w:r>
    </w:p>
    <w:bookmarkEnd w:id="84"/>
    <w:bookmarkEnd w:id="85"/>
    <w:p w14:paraId="144D3D1F" w14:textId="77777777" w:rsidR="006362A7" w:rsidRDefault="00376903">
      <w:pPr>
        <w:spacing w:line="540" w:lineRule="exact"/>
        <w:ind w:firstLineChars="200" w:firstLine="643"/>
        <w:rPr>
          <w:rFonts w:ascii="仿宋_GB2312" w:eastAsia="仿宋_GB2312" w:hAnsi="仿宋_GB2312" w:cs="仿宋_GB2312"/>
          <w:color w:val="000000" w:themeColor="text1"/>
          <w:sz w:val="32"/>
          <w:szCs w:val="32"/>
        </w:rPr>
      </w:pPr>
      <w:r>
        <w:rPr>
          <w:rFonts w:ascii="Times New Roman" w:eastAsia="仿宋_GB2312" w:hAnsi="Times New Roman"/>
          <w:b/>
          <w:bCs/>
          <w:color w:val="000000" w:themeColor="text1"/>
          <w:sz w:val="32"/>
          <w:szCs w:val="32"/>
        </w:rPr>
        <w:t>——</w:t>
      </w:r>
      <w:r>
        <w:rPr>
          <w:rFonts w:ascii="仿宋_GB2312" w:eastAsia="仿宋_GB2312" w:hAnsi="仿宋_GB2312" w:cs="仿宋_GB2312" w:hint="eastAsia"/>
          <w:b/>
          <w:bCs/>
          <w:color w:val="000000" w:themeColor="text1"/>
          <w:sz w:val="32"/>
          <w:szCs w:val="32"/>
        </w:rPr>
        <w:t>提升学校办学水平，提高教育教学质量。</w:t>
      </w:r>
      <w:r>
        <w:rPr>
          <w:rFonts w:ascii="仿宋_GB2312" w:eastAsia="仿宋_GB2312" w:hAnsi="仿宋_GB2312" w:cs="仿宋_GB2312" w:hint="eastAsia"/>
          <w:color w:val="000000" w:themeColor="text1"/>
          <w:sz w:val="32"/>
          <w:szCs w:val="32"/>
        </w:rPr>
        <w:t>深入推进素质教育，深化教育教学改革，提升学生的创新精神和实践能力。全面推进教育集团化建设，推动新</w:t>
      </w:r>
      <w:proofErr w:type="gramStart"/>
      <w:r>
        <w:rPr>
          <w:rFonts w:ascii="仿宋_GB2312" w:eastAsia="仿宋_GB2312" w:hAnsi="仿宋_GB2312" w:cs="仿宋_GB2312" w:hint="eastAsia"/>
          <w:color w:val="000000" w:themeColor="text1"/>
          <w:sz w:val="32"/>
          <w:szCs w:val="32"/>
        </w:rPr>
        <w:t>优质学校</w:t>
      </w:r>
      <w:proofErr w:type="gramEnd"/>
      <w:r>
        <w:rPr>
          <w:rFonts w:ascii="仿宋_GB2312" w:eastAsia="仿宋_GB2312" w:hAnsi="仿宋_GB2312" w:cs="仿宋_GB2312" w:hint="eastAsia"/>
          <w:color w:val="000000" w:themeColor="text1"/>
          <w:sz w:val="32"/>
          <w:szCs w:val="32"/>
        </w:rPr>
        <w:t>成长。课程体系、学业评价等质量保障制度进一步优化，经费投入、教学设施设备等质量保障条件进一步改善，学校布局与规模更加合理，教育开放度、国际参与度显著提高。中小学生学业合格率达95%以上，中小学体质健康合格率达96%以上，中小学教育质量走在相关国际评价前列，高等教育毛入学率达70%，高等教育普及化程度进一步提高。</w:t>
      </w:r>
    </w:p>
    <w:p w14:paraId="722E7D50" w14:textId="77777777" w:rsidR="006362A7" w:rsidRDefault="00376903">
      <w:pPr>
        <w:spacing w:line="540" w:lineRule="exact"/>
        <w:ind w:firstLineChars="200" w:firstLine="643"/>
        <w:rPr>
          <w:rFonts w:ascii="仿宋_GB2312" w:eastAsia="仿宋_GB2312" w:hAnsi="仿宋_GB2312" w:cs="仿宋_GB2312"/>
          <w:color w:val="000000" w:themeColor="text1"/>
          <w:sz w:val="32"/>
          <w:szCs w:val="32"/>
        </w:rPr>
      </w:pPr>
      <w:bookmarkStart w:id="87" w:name="_Toc28992"/>
      <w:bookmarkEnd w:id="86"/>
      <w:r>
        <w:rPr>
          <w:rFonts w:ascii="Times New Roman" w:eastAsia="仿宋_GB2312" w:hAnsi="Times New Roman"/>
          <w:b/>
          <w:bCs/>
          <w:color w:val="000000" w:themeColor="text1"/>
          <w:sz w:val="32"/>
          <w:szCs w:val="32"/>
        </w:rPr>
        <w:t>——</w:t>
      </w:r>
      <w:r>
        <w:rPr>
          <w:rFonts w:ascii="仿宋_GB2312" w:eastAsia="仿宋_GB2312" w:hAnsi="仿宋_GB2312" w:cs="仿宋_GB2312" w:hint="eastAsia"/>
          <w:b/>
          <w:bCs/>
          <w:color w:val="000000" w:themeColor="text1"/>
          <w:sz w:val="32"/>
          <w:szCs w:val="32"/>
        </w:rPr>
        <w:t>提升师资队伍水平，打造相城教育人才高地</w:t>
      </w:r>
      <w:bookmarkEnd w:id="87"/>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造就一支师德高尚、业务精湛、结构合理、充满活力的高素质专业化教师队伍，培养一批具有现代意识和国际视野的省内外有影响力的高层次教育人才。到2025年，力争培养和引进2-3名“省人民教育家培养对象”，新增20-25名省特级教师和教授级中学高级教师，小学教师本科及以上学历（学位）达95.5％，初中教师研究生学历（学位）达18.2%，高中阶段教师研究生学历（学位）达30%。</w:t>
      </w:r>
    </w:p>
    <w:p w14:paraId="7C8A68F5" w14:textId="77777777" w:rsidR="006362A7" w:rsidRDefault="00376903">
      <w:pPr>
        <w:spacing w:line="540" w:lineRule="exact"/>
        <w:ind w:firstLineChars="200" w:firstLine="643"/>
        <w:rPr>
          <w:rFonts w:ascii="仿宋_GB2312" w:eastAsia="仿宋_GB2312" w:hAnsi="仿宋_GB2312" w:cs="仿宋_GB2312"/>
          <w:color w:val="000000" w:themeColor="text1"/>
          <w:sz w:val="32"/>
          <w:szCs w:val="32"/>
        </w:rPr>
      </w:pPr>
      <w:bookmarkStart w:id="88" w:name="_Toc32001"/>
      <w:bookmarkStart w:id="89" w:name="_Toc21132"/>
      <w:bookmarkStart w:id="90" w:name="_Toc2185"/>
      <w:r>
        <w:rPr>
          <w:rFonts w:ascii="Times New Roman" w:eastAsia="仿宋_GB2312" w:hAnsi="Times New Roman"/>
          <w:b/>
          <w:bCs/>
          <w:color w:val="000000" w:themeColor="text1"/>
          <w:sz w:val="32"/>
          <w:szCs w:val="32"/>
        </w:rPr>
        <w:t>——</w:t>
      </w:r>
      <w:r>
        <w:rPr>
          <w:rFonts w:ascii="仿宋_GB2312" w:eastAsia="仿宋_GB2312" w:hAnsi="仿宋_GB2312" w:cs="仿宋_GB2312" w:hint="eastAsia"/>
          <w:b/>
          <w:bCs/>
          <w:color w:val="000000" w:themeColor="text1"/>
          <w:sz w:val="32"/>
          <w:szCs w:val="32"/>
        </w:rPr>
        <w:t>提升终身教育水平，构建协调发展的教育体系。</w:t>
      </w:r>
      <w:r>
        <w:rPr>
          <w:rFonts w:ascii="仿宋_GB2312" w:eastAsia="仿宋_GB2312" w:hAnsi="仿宋_GB2312" w:cs="仿宋_GB2312" w:hint="eastAsia"/>
          <w:color w:val="000000" w:themeColor="text1"/>
          <w:sz w:val="32"/>
          <w:szCs w:val="32"/>
        </w:rPr>
        <w:t>建</w:t>
      </w:r>
      <w:r>
        <w:rPr>
          <w:rFonts w:ascii="仿宋_GB2312" w:eastAsia="仿宋_GB2312" w:hAnsi="仿宋_GB2312" w:cs="仿宋_GB2312" w:hint="eastAsia"/>
          <w:color w:val="000000" w:themeColor="text1"/>
          <w:sz w:val="32"/>
          <w:szCs w:val="32"/>
        </w:rPr>
        <w:lastRenderedPageBreak/>
        <w:t>立政府主导、多部门协同、社会支持、群众参与的终身教育管理体制和运行机制。劳动者素质全面提高，主要劳动年龄人口平均受教育年限达12.3年。大力发展社区教育，发挥社会机构对学校教育的补充作用，强化职业学校的社会培训功能，面向行业企业开展职工继续教育，从业人员继续教育年参与率达65%。推进养教结合，更加重视老年教育，老年人社区教育活动年参与率达46%。促进各级各类教育纵向衔接、横向沟通。</w:t>
      </w:r>
    </w:p>
    <w:p w14:paraId="64E98BCB" w14:textId="77777777" w:rsidR="006362A7" w:rsidRDefault="00376903">
      <w:pPr>
        <w:spacing w:line="540" w:lineRule="exact"/>
        <w:ind w:firstLineChars="200" w:firstLine="640"/>
        <w:outlineLvl w:val="0"/>
        <w:rPr>
          <w:rFonts w:ascii="黑体" w:eastAsia="黑体" w:hAnsi="黑体" w:cs="黑体"/>
          <w:sz w:val="32"/>
          <w:szCs w:val="32"/>
        </w:rPr>
      </w:pPr>
      <w:bookmarkStart w:id="91" w:name="_Toc10043"/>
      <w:r>
        <w:rPr>
          <w:rFonts w:ascii="黑体" w:eastAsia="黑体" w:hAnsi="黑体" w:cs="黑体" w:hint="eastAsia"/>
          <w:sz w:val="32"/>
          <w:szCs w:val="32"/>
        </w:rPr>
        <w:t>三、“十四五”教育事业发展主要任务</w:t>
      </w:r>
      <w:bookmarkEnd w:id="88"/>
      <w:bookmarkEnd w:id="89"/>
      <w:bookmarkEnd w:id="90"/>
      <w:bookmarkEnd w:id="91"/>
    </w:p>
    <w:p w14:paraId="6EA4D045" w14:textId="77777777" w:rsidR="006362A7" w:rsidRDefault="00376903">
      <w:pPr>
        <w:numPr>
          <w:ilvl w:val="0"/>
          <w:numId w:val="4"/>
        </w:numPr>
        <w:spacing w:line="540" w:lineRule="exact"/>
        <w:ind w:firstLineChars="200" w:firstLine="640"/>
        <w:outlineLvl w:val="1"/>
        <w:rPr>
          <w:rFonts w:ascii="楷体" w:eastAsia="楷体" w:hAnsi="楷体" w:cs="楷体"/>
          <w:sz w:val="32"/>
          <w:szCs w:val="32"/>
        </w:rPr>
      </w:pPr>
      <w:bookmarkStart w:id="92" w:name="_Toc18066"/>
      <w:bookmarkStart w:id="93" w:name="_Toc12760"/>
      <w:bookmarkStart w:id="94" w:name="_Toc29899"/>
      <w:bookmarkStart w:id="95" w:name="_Toc1858"/>
      <w:r>
        <w:rPr>
          <w:rFonts w:ascii="楷体" w:eastAsia="楷体" w:hAnsi="楷体" w:cs="楷体" w:hint="eastAsia"/>
          <w:sz w:val="32"/>
          <w:szCs w:val="32"/>
        </w:rPr>
        <w:t>学前教育优质普惠发展</w:t>
      </w:r>
      <w:bookmarkEnd w:id="92"/>
      <w:bookmarkEnd w:id="93"/>
      <w:bookmarkEnd w:id="94"/>
      <w:bookmarkEnd w:id="95"/>
    </w:p>
    <w:p w14:paraId="43D6EBFD" w14:textId="77777777" w:rsidR="006362A7" w:rsidRDefault="00376903">
      <w:pPr>
        <w:spacing w:line="540" w:lineRule="exact"/>
        <w:ind w:firstLineChars="200" w:firstLine="640"/>
        <w:rPr>
          <w:rFonts w:ascii="仿宋" w:eastAsia="仿宋_GB2312" w:hAnsi="仿宋" w:cs="仿宋"/>
          <w:sz w:val="32"/>
          <w:szCs w:val="32"/>
        </w:rPr>
      </w:pPr>
      <w:r>
        <w:rPr>
          <w:rFonts w:ascii="仿宋_GB2312" w:eastAsia="仿宋_GB2312" w:hAnsi="仿宋_GB2312" w:cs="仿宋_GB2312" w:hint="eastAsia"/>
          <w:color w:val="000000"/>
          <w:sz w:val="32"/>
          <w:szCs w:val="32"/>
        </w:rPr>
        <w:t>优化学前教育资源配置。加快建成公益普惠、覆盖城乡、布局合理、就近便捷的学前教育公共服务体系。完善普惠性幼儿园服务区制度，到2025年，省市优质幼儿园数量达67个，公办园覆盖率（公办园在园幼儿占比)达70%，普惠性幼儿园覆盖率</w:t>
      </w:r>
      <w:r>
        <w:rPr>
          <w:rFonts w:ascii="仿宋_GB2312" w:eastAsia="仿宋_GB2312" w:hAnsi="仿宋_GB2312" w:cs="仿宋_GB2312" w:hint="eastAsia"/>
          <w:color w:val="000000" w:themeColor="text1"/>
          <w:sz w:val="32"/>
          <w:szCs w:val="32"/>
        </w:rPr>
        <w:t>（公办和普惠性民办幼儿园在园幼儿占比）达</w:t>
      </w:r>
      <w:r>
        <w:rPr>
          <w:rFonts w:ascii="仿宋_GB2312" w:eastAsia="仿宋_GB2312" w:hAnsi="仿宋_GB2312" w:cs="仿宋_GB2312" w:hint="eastAsia"/>
          <w:color w:val="000000"/>
          <w:sz w:val="32"/>
          <w:szCs w:val="32"/>
        </w:rPr>
        <w:t>90%，</w:t>
      </w:r>
      <w:r>
        <w:rPr>
          <w:rFonts w:ascii="仿宋_GB2312" w:eastAsia="仿宋_GB2312" w:hAnsi="仿宋_GB2312" w:cs="仿宋_GB2312" w:hint="eastAsia"/>
          <w:sz w:val="32"/>
          <w:szCs w:val="32"/>
        </w:rPr>
        <w:t>区域内省市优</w:t>
      </w:r>
      <w:r>
        <w:rPr>
          <w:rFonts w:ascii="仿宋_GB2312" w:eastAsia="仿宋_GB2312" w:hAnsi="仿宋_GB2312" w:cs="仿宋_GB2312" w:hint="eastAsia"/>
          <w:color w:val="000000"/>
          <w:sz w:val="32"/>
          <w:szCs w:val="32"/>
        </w:rPr>
        <w:t>质幼儿园覆盖率（省市优质幼儿园在园幼儿占比）达93%。坚持以游戏为基本活动，提高学前教育保教质量。充分发挥优质幼儿园的辐射带动作用，加强对薄弱园的专业引领和实践指导。</w:t>
      </w:r>
    </w:p>
    <w:p w14:paraId="27282BBE" w14:textId="77777777" w:rsidR="006362A7" w:rsidRDefault="00376903">
      <w:pPr>
        <w:numPr>
          <w:ilvl w:val="0"/>
          <w:numId w:val="4"/>
        </w:numPr>
        <w:spacing w:line="540" w:lineRule="exact"/>
        <w:ind w:firstLineChars="200" w:firstLine="640"/>
        <w:outlineLvl w:val="1"/>
        <w:rPr>
          <w:rFonts w:ascii="楷体" w:eastAsia="楷体" w:hAnsi="楷体" w:cs="楷体"/>
          <w:sz w:val="32"/>
          <w:szCs w:val="32"/>
        </w:rPr>
      </w:pPr>
      <w:bookmarkStart w:id="96" w:name="_Toc13643"/>
      <w:bookmarkStart w:id="97" w:name="_Toc13109"/>
      <w:bookmarkStart w:id="98" w:name="_Toc15767"/>
      <w:bookmarkStart w:id="99" w:name="_Toc912"/>
      <w:r>
        <w:rPr>
          <w:rFonts w:ascii="楷体" w:eastAsia="楷体" w:hAnsi="楷体" w:cs="楷体" w:hint="eastAsia"/>
          <w:sz w:val="32"/>
          <w:szCs w:val="32"/>
        </w:rPr>
        <w:t>义务教育优质均衡发展</w:t>
      </w:r>
      <w:bookmarkEnd w:id="96"/>
      <w:bookmarkEnd w:id="97"/>
      <w:bookmarkEnd w:id="98"/>
      <w:bookmarkEnd w:id="99"/>
    </w:p>
    <w:p w14:paraId="4B22E1E7"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促进义务教育资源均衡配置。坚持免试就近入学，保障随迁子女平等享受基本公共教育服务。民办义务教育学校招生纳入审批地统一管理，与公办学校同步招生。坚持校内均衡编班，推行适度规模和标准班额办学，鼓励小班化教学。着力推进区域教育资源均衡配置，通过名校设分校（校区）、</w:t>
      </w:r>
      <w:r>
        <w:rPr>
          <w:rFonts w:ascii="仿宋_GB2312" w:eastAsia="仿宋_GB2312" w:hAnsi="仿宋_GB2312" w:cs="仿宋_GB2312" w:hint="eastAsia"/>
          <w:color w:val="000000"/>
          <w:sz w:val="32"/>
          <w:szCs w:val="32"/>
        </w:rPr>
        <w:lastRenderedPageBreak/>
        <w:t>教育联盟、学校发展共同体、校际协作帮扶等多种形式深化集团化办学改革，以三年为一个推进阶段，2023年后实现义务教育阶段</w:t>
      </w:r>
      <w:proofErr w:type="gramStart"/>
      <w:r>
        <w:rPr>
          <w:rFonts w:ascii="仿宋_GB2312" w:eastAsia="仿宋_GB2312" w:hAnsi="仿宋_GB2312" w:cs="仿宋_GB2312" w:hint="eastAsia"/>
          <w:color w:val="000000"/>
          <w:sz w:val="32"/>
          <w:szCs w:val="32"/>
        </w:rPr>
        <w:t>优质学校全</w:t>
      </w:r>
      <w:proofErr w:type="gramEnd"/>
      <w:r>
        <w:rPr>
          <w:rFonts w:ascii="仿宋_GB2312" w:eastAsia="仿宋_GB2312" w:hAnsi="仿宋_GB2312" w:cs="仿宋_GB2312" w:hint="eastAsia"/>
          <w:color w:val="000000"/>
          <w:sz w:val="32"/>
          <w:szCs w:val="32"/>
        </w:rPr>
        <w:t>覆盖。完善义务教育优质均衡发展监测评估制度，健全义务教育质量保障体系，创建国家义务教育优质均衡发展县（市、区），提高学校办学质量。</w:t>
      </w:r>
      <w:bookmarkStart w:id="100" w:name="_Toc24191"/>
      <w:bookmarkStart w:id="101" w:name="_Toc13775"/>
    </w:p>
    <w:p w14:paraId="14413882" w14:textId="77777777" w:rsidR="006362A7" w:rsidRDefault="00376903">
      <w:pPr>
        <w:spacing w:line="540" w:lineRule="exact"/>
        <w:ind w:firstLineChars="200" w:firstLine="640"/>
        <w:outlineLvl w:val="1"/>
        <w:rPr>
          <w:rFonts w:ascii="楷体" w:eastAsia="楷体" w:hAnsi="楷体" w:cs="楷体"/>
          <w:sz w:val="32"/>
          <w:szCs w:val="32"/>
        </w:rPr>
      </w:pPr>
      <w:bookmarkStart w:id="102" w:name="_Toc17608"/>
      <w:r>
        <w:rPr>
          <w:rFonts w:ascii="楷体" w:eastAsia="楷体" w:hAnsi="楷体" w:cs="楷体" w:hint="eastAsia"/>
          <w:color w:val="000000"/>
          <w:sz w:val="32"/>
          <w:szCs w:val="32"/>
        </w:rPr>
        <w:t>（三）</w:t>
      </w:r>
      <w:r>
        <w:rPr>
          <w:rFonts w:ascii="楷体" w:eastAsia="楷体" w:hAnsi="楷体" w:cs="楷体" w:hint="eastAsia"/>
          <w:sz w:val="32"/>
          <w:szCs w:val="32"/>
        </w:rPr>
        <w:t>高中教育特色多样化发展</w:t>
      </w:r>
      <w:bookmarkEnd w:id="100"/>
      <w:bookmarkEnd w:id="101"/>
      <w:bookmarkEnd w:id="102"/>
    </w:p>
    <w:p w14:paraId="252181AF"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积极实施普通高中“高品质计划”，高中阶段</w:t>
      </w:r>
      <w:proofErr w:type="gramStart"/>
      <w:r>
        <w:rPr>
          <w:rFonts w:ascii="仿宋_GB2312" w:eastAsia="仿宋_GB2312" w:hAnsi="仿宋_GB2312" w:cs="仿宋_GB2312" w:hint="eastAsia"/>
          <w:color w:val="000000"/>
          <w:sz w:val="32"/>
          <w:szCs w:val="32"/>
        </w:rPr>
        <w:t>优质学校</w:t>
      </w:r>
      <w:proofErr w:type="gramEnd"/>
      <w:r>
        <w:rPr>
          <w:rFonts w:ascii="仿宋_GB2312" w:eastAsia="仿宋_GB2312" w:hAnsi="仿宋_GB2312" w:cs="仿宋_GB2312" w:hint="eastAsia"/>
          <w:color w:val="000000"/>
          <w:sz w:val="32"/>
          <w:szCs w:val="32"/>
        </w:rPr>
        <w:t>达6所。扩大普高办学规模，建成江苏省相城中学高中部。望亭中学创建江苏省四星级高中。深化普通高中教学改革，提高课堂教学效率。开齐开足规定课程，建设特色课程，开展校园社团活动，培养学生的综合素质和良好能力。加强高中与职业院校、社会机构合作,探索普职融通综合改革，试点普职融合的综合高中建设，为学生提供个性化职业生涯教育和高质量职业体验经历。加强高中与大学的衔接，在高中开设大学先修课程、国际高校预科中心。进一步探索创新国际理解教育的实施途径，培育建设一批国际理解教育项目和示范学校。</w:t>
      </w:r>
    </w:p>
    <w:p w14:paraId="1178E1BB" w14:textId="77777777" w:rsidR="006362A7" w:rsidRDefault="00376903">
      <w:pPr>
        <w:spacing w:line="540" w:lineRule="exact"/>
        <w:ind w:firstLineChars="200" w:firstLine="640"/>
        <w:outlineLvl w:val="1"/>
        <w:rPr>
          <w:rFonts w:ascii="楷体" w:eastAsia="楷体" w:hAnsi="楷体" w:cs="楷体"/>
          <w:sz w:val="32"/>
          <w:szCs w:val="32"/>
        </w:rPr>
      </w:pPr>
      <w:bookmarkStart w:id="103" w:name="_Toc29120"/>
      <w:bookmarkStart w:id="104" w:name="_Toc9038"/>
      <w:bookmarkStart w:id="105" w:name="_Toc29480"/>
      <w:r>
        <w:rPr>
          <w:rFonts w:ascii="楷体" w:eastAsia="楷体" w:hAnsi="楷体" w:cs="楷体" w:hint="eastAsia"/>
          <w:sz w:val="32"/>
          <w:szCs w:val="32"/>
        </w:rPr>
        <w:t>（四）职业教育产教融合发展</w:t>
      </w:r>
      <w:bookmarkEnd w:id="103"/>
      <w:bookmarkEnd w:id="104"/>
      <w:bookmarkEnd w:id="105"/>
    </w:p>
    <w:p w14:paraId="65787D87"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以市场为导向，制定职业教育校企合作激励方案，与企业建立理论与实践一体化培训基地，促进</w:t>
      </w:r>
      <w:proofErr w:type="gramStart"/>
      <w:r>
        <w:rPr>
          <w:rFonts w:ascii="仿宋_GB2312" w:eastAsia="仿宋_GB2312" w:hAnsi="仿宋_GB2312" w:cs="仿宋_GB2312" w:hint="eastAsia"/>
          <w:color w:val="000000"/>
          <w:sz w:val="32"/>
          <w:szCs w:val="32"/>
        </w:rPr>
        <w:t>产教及校</w:t>
      </w:r>
      <w:proofErr w:type="gramEnd"/>
      <w:r>
        <w:rPr>
          <w:rFonts w:ascii="仿宋_GB2312" w:eastAsia="仿宋_GB2312" w:hAnsi="仿宋_GB2312" w:cs="仿宋_GB2312" w:hint="eastAsia"/>
          <w:color w:val="000000"/>
          <w:sz w:val="32"/>
          <w:szCs w:val="32"/>
        </w:rPr>
        <w:t>企深度融合。推进对外合作办学，实现主要专业对接国际通用职业资格证书。探索实行高层次、高技能人才直接考察的招聘方式。建立健全职业院校自主聘任兼职教师的办法，支持职业院校</w:t>
      </w:r>
      <w:r>
        <w:rPr>
          <w:rFonts w:ascii="仿宋_GB2312" w:eastAsia="仿宋_GB2312" w:hAnsi="仿宋_GB2312" w:cs="仿宋_GB2312" w:hint="eastAsia"/>
          <w:sz w:val="32"/>
          <w:szCs w:val="32"/>
        </w:rPr>
        <w:t>在核定编制总额内，按不超过专业教师总额30%的比例，聘任专业技</w:t>
      </w:r>
      <w:r>
        <w:rPr>
          <w:rFonts w:ascii="仿宋_GB2312" w:eastAsia="仿宋_GB2312" w:hAnsi="仿宋_GB2312" w:cs="仿宋_GB2312" w:hint="eastAsia"/>
          <w:color w:val="000000"/>
          <w:sz w:val="32"/>
          <w:szCs w:val="32"/>
        </w:rPr>
        <w:t>术人员和高技能人才兼职承担专业课教学或实习</w:t>
      </w:r>
      <w:r>
        <w:rPr>
          <w:rFonts w:ascii="仿宋_GB2312" w:eastAsia="仿宋_GB2312" w:hAnsi="仿宋_GB2312" w:cs="仿宋_GB2312" w:hint="eastAsia"/>
          <w:color w:val="000000"/>
          <w:sz w:val="32"/>
          <w:szCs w:val="32"/>
        </w:rPr>
        <w:lastRenderedPageBreak/>
        <w:t>指导任务，所需经费列入部门预算。职业院校通过校企合作、技术服务、社会培训等所得收入，可按一定比例作为学校绩效工资来源。实施职业教育专业建设工程，“十四五”期间新增企业学院3个，“1+X”证书试点项目3个，现代化实训基地1个。</w:t>
      </w:r>
    </w:p>
    <w:p w14:paraId="5A747F87" w14:textId="77777777" w:rsidR="006362A7" w:rsidRDefault="00376903">
      <w:pPr>
        <w:spacing w:line="540" w:lineRule="exact"/>
        <w:ind w:firstLineChars="200" w:firstLine="640"/>
        <w:outlineLvl w:val="1"/>
        <w:rPr>
          <w:rFonts w:ascii="楷体" w:eastAsia="楷体" w:hAnsi="楷体" w:cs="楷体"/>
          <w:color w:val="000000"/>
          <w:sz w:val="32"/>
          <w:szCs w:val="32"/>
        </w:rPr>
      </w:pPr>
      <w:bookmarkStart w:id="106" w:name="_Toc15053"/>
      <w:bookmarkStart w:id="107" w:name="_Toc16621"/>
      <w:bookmarkStart w:id="108" w:name="_Toc17291"/>
      <w:bookmarkStart w:id="109" w:name="_Toc4824"/>
      <w:r>
        <w:rPr>
          <w:rFonts w:ascii="楷体" w:eastAsia="楷体" w:hAnsi="楷体" w:cs="楷体" w:hint="eastAsia"/>
          <w:color w:val="000000"/>
          <w:sz w:val="32"/>
          <w:szCs w:val="32"/>
        </w:rPr>
        <w:t>（五）高等教育协作提升发展</w:t>
      </w:r>
      <w:bookmarkEnd w:id="106"/>
      <w:bookmarkEnd w:id="107"/>
      <w:bookmarkEnd w:id="108"/>
      <w:bookmarkEnd w:id="109"/>
    </w:p>
    <w:p w14:paraId="424D55EE" w14:textId="77777777" w:rsidR="006362A7" w:rsidRDefault="00376903">
      <w:pPr>
        <w:spacing w:line="54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sz w:val="32"/>
          <w:szCs w:val="32"/>
        </w:rPr>
        <w:t>提升相城中等专业学校办学层次，创建江苏联合职业技术学院相城分院，“十四五”末五年制高职专业数量从6个扩大到全覆盖，高职学生招生比例达60%以上，升格为相城高等职业技术学院。“十四五”期间新建一所职业院校，结合研发社区的建设，大力引进集约型楼宇大学8所，争取设立艺术类本科院校，引进国际合作高等院校、中外合作办学项目，</w:t>
      </w:r>
      <w:r>
        <w:rPr>
          <w:rFonts w:ascii="仿宋_GB2312" w:eastAsia="仿宋_GB2312" w:hAnsi="仿宋_GB2312" w:cs="仿宋_GB2312" w:hint="eastAsia"/>
          <w:color w:val="000000" w:themeColor="text1"/>
          <w:sz w:val="32"/>
          <w:szCs w:val="32"/>
        </w:rPr>
        <w:t>大力推进河海大学苏州研究生院、河海大学苏州研究院建设，做实科技成果转化和高层次人才培养，促进校地协同创新。</w:t>
      </w:r>
    </w:p>
    <w:p w14:paraId="2BE656EA" w14:textId="77777777" w:rsidR="006362A7" w:rsidRDefault="00376903">
      <w:pPr>
        <w:spacing w:line="540" w:lineRule="exact"/>
        <w:ind w:firstLineChars="200" w:firstLine="640"/>
        <w:outlineLvl w:val="1"/>
        <w:rPr>
          <w:rFonts w:ascii="楷体" w:eastAsia="楷体" w:hAnsi="楷体" w:cs="楷体"/>
          <w:sz w:val="32"/>
          <w:szCs w:val="32"/>
        </w:rPr>
      </w:pPr>
      <w:bookmarkStart w:id="110" w:name="_Toc6296"/>
      <w:bookmarkStart w:id="111" w:name="_Toc10680"/>
      <w:bookmarkStart w:id="112" w:name="_Toc26873"/>
      <w:bookmarkStart w:id="113" w:name="_Toc9135"/>
      <w:r>
        <w:rPr>
          <w:rFonts w:ascii="楷体" w:eastAsia="楷体" w:hAnsi="楷体" w:cs="楷体" w:hint="eastAsia"/>
          <w:sz w:val="32"/>
          <w:szCs w:val="32"/>
        </w:rPr>
        <w:t>（六）民办教育开放多元发展</w:t>
      </w:r>
      <w:bookmarkEnd w:id="110"/>
      <w:bookmarkEnd w:id="111"/>
      <w:bookmarkEnd w:id="112"/>
      <w:bookmarkEnd w:id="113"/>
    </w:p>
    <w:p w14:paraId="3EA1257A" w14:textId="77777777" w:rsidR="006362A7" w:rsidRDefault="00376903">
      <w:pPr>
        <w:pStyle w:val="a0"/>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吸引品牌特色鲜明、育人理念先进、国际化氛围浓厚的优质民办学校来相办学，“十四五”期间新引进国际学校（幼儿园）10所，满足高层次人才子女多元化个性化教育需求。积极推进服务日籍人士的外籍人员子女学校建设，构建本土化与国际化深度融合的课程体系。加强与长三角地区民办教育行业组织的交流合作，共同推进建设信息相通、资源共享、要素重组和优势互补的教育一体化发展联盟。</w:t>
      </w:r>
      <w:bookmarkStart w:id="114" w:name="_Toc10718"/>
      <w:bookmarkStart w:id="115" w:name="_Toc686"/>
      <w:r>
        <w:rPr>
          <w:rFonts w:ascii="仿宋_GB2312" w:eastAsia="仿宋_GB2312" w:hAnsi="仿宋_GB2312" w:cs="仿宋_GB2312" w:hint="eastAsia"/>
          <w:color w:val="000000"/>
          <w:sz w:val="32"/>
          <w:szCs w:val="32"/>
        </w:rPr>
        <w:t>优化民办教育管理机制，逐步实行营利性与非营利性民办教育分类登记和管理。制定科学合理的民办学校高质量发展办学水平考核细</w:t>
      </w:r>
      <w:r>
        <w:rPr>
          <w:rFonts w:ascii="仿宋_GB2312" w:eastAsia="仿宋_GB2312" w:hAnsi="仿宋_GB2312" w:cs="仿宋_GB2312" w:hint="eastAsia"/>
          <w:color w:val="000000"/>
          <w:sz w:val="32"/>
          <w:szCs w:val="32"/>
        </w:rPr>
        <w:lastRenderedPageBreak/>
        <w:t>则，精准引导民办学校提升办学质量。建立健全各项监督检查与奖惩机制，明确民办学校表彰激励和淘汰退出办法。</w:t>
      </w:r>
    </w:p>
    <w:p w14:paraId="47278453" w14:textId="77777777" w:rsidR="006362A7" w:rsidRDefault="00376903">
      <w:pPr>
        <w:pStyle w:val="a0"/>
        <w:spacing w:line="540" w:lineRule="exact"/>
        <w:ind w:firstLineChars="200" w:firstLine="640"/>
        <w:outlineLvl w:val="1"/>
        <w:rPr>
          <w:rFonts w:ascii="楷体" w:eastAsia="楷体" w:hAnsi="楷体" w:cs="楷体"/>
          <w:color w:val="000000"/>
          <w:sz w:val="32"/>
          <w:szCs w:val="32"/>
        </w:rPr>
      </w:pPr>
      <w:bookmarkStart w:id="116" w:name="_Toc21241"/>
      <w:r>
        <w:rPr>
          <w:rFonts w:ascii="楷体" w:eastAsia="楷体" w:hAnsi="楷体" w:cs="楷体" w:hint="eastAsia"/>
          <w:color w:val="000000"/>
          <w:sz w:val="32"/>
          <w:szCs w:val="32"/>
        </w:rPr>
        <w:t>（七）特殊教育优质融合发展</w:t>
      </w:r>
      <w:bookmarkEnd w:id="114"/>
      <w:bookmarkEnd w:id="115"/>
      <w:bookmarkEnd w:id="116"/>
    </w:p>
    <w:p w14:paraId="520C372C"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完善特殊教育体系。进一步完善以特殊教育学校为骨干，以融合教育为主体，以送教上门为补充的特殊教育办学体系，切实保障残疾儿童少年受教育机会。加强融合教育资源中心建设，实现所有镇（街道、区）、各学</w:t>
      </w:r>
      <w:proofErr w:type="gramStart"/>
      <w:r>
        <w:rPr>
          <w:rFonts w:ascii="仿宋_GB2312" w:eastAsia="仿宋_GB2312" w:hAnsi="仿宋_GB2312" w:cs="仿宋_GB2312" w:hint="eastAsia"/>
          <w:color w:val="000000"/>
          <w:sz w:val="32"/>
          <w:szCs w:val="32"/>
        </w:rPr>
        <w:t>段学校</w:t>
      </w:r>
      <w:proofErr w:type="gramEnd"/>
      <w:r>
        <w:rPr>
          <w:rFonts w:ascii="仿宋_GB2312" w:eastAsia="仿宋_GB2312" w:hAnsi="仿宋_GB2312" w:cs="仿宋_GB2312" w:hint="eastAsia"/>
          <w:color w:val="000000"/>
          <w:sz w:val="32"/>
          <w:szCs w:val="32"/>
        </w:rPr>
        <w:t>融合教育资源中心全覆盖。每个融合教育资源中心配备1-3名特教专职（持双证）教师，全区配备6-10名专职（持双证）巡回指导教师。推进融合教育资源中心内涵建设，不断提高融合教育质量。</w:t>
      </w:r>
      <w:bookmarkStart w:id="117" w:name="_Toc10070"/>
      <w:bookmarkStart w:id="118" w:name="_Toc18516"/>
      <w:r>
        <w:rPr>
          <w:rFonts w:ascii="仿宋_GB2312" w:eastAsia="仿宋_GB2312" w:hAnsi="仿宋_GB2312" w:cs="仿宋_GB2312" w:hint="eastAsia"/>
          <w:color w:val="000000"/>
          <w:sz w:val="32"/>
          <w:szCs w:val="32"/>
        </w:rPr>
        <w:t>残疾幼儿入园率达80%，残疾儿童义务教育入学率保持100%，残疾少年高中段入学率达80%。</w:t>
      </w:r>
    </w:p>
    <w:p w14:paraId="39AD76B7" w14:textId="77777777" w:rsidR="006362A7" w:rsidRDefault="00376903">
      <w:pPr>
        <w:spacing w:line="540" w:lineRule="exact"/>
        <w:ind w:firstLineChars="200" w:firstLine="640"/>
        <w:outlineLvl w:val="1"/>
        <w:rPr>
          <w:rFonts w:ascii="楷体" w:eastAsia="楷体" w:hAnsi="楷体" w:cs="楷体"/>
          <w:color w:val="000000"/>
          <w:sz w:val="32"/>
          <w:szCs w:val="32"/>
        </w:rPr>
      </w:pPr>
      <w:bookmarkStart w:id="119" w:name="_Toc24344"/>
      <w:r>
        <w:rPr>
          <w:rFonts w:ascii="楷体" w:eastAsia="楷体" w:hAnsi="楷体" w:cs="楷体" w:hint="eastAsia"/>
          <w:color w:val="000000"/>
          <w:sz w:val="32"/>
          <w:szCs w:val="32"/>
        </w:rPr>
        <w:t>（八）终身教育开放融通发展</w:t>
      </w:r>
      <w:bookmarkEnd w:id="117"/>
      <w:bookmarkEnd w:id="118"/>
      <w:bookmarkEnd w:id="119"/>
    </w:p>
    <w:p w14:paraId="4EB01B41"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加强城区、街道和居委会三级社区教育网络建设，整合学校教育资源和其他社会资源，运用现代信息技术，</w:t>
      </w:r>
      <w:proofErr w:type="gramStart"/>
      <w:r>
        <w:rPr>
          <w:rFonts w:ascii="仿宋_GB2312" w:eastAsia="仿宋_GB2312" w:hAnsi="仿宋_GB2312" w:cs="仿宋_GB2312" w:hint="eastAsia"/>
          <w:color w:val="000000"/>
          <w:sz w:val="32"/>
          <w:szCs w:val="32"/>
        </w:rPr>
        <w:t>搭建线</w:t>
      </w:r>
      <w:proofErr w:type="gramEnd"/>
      <w:r>
        <w:rPr>
          <w:rFonts w:ascii="仿宋_GB2312" w:eastAsia="仿宋_GB2312" w:hAnsi="仿宋_GB2312" w:cs="仿宋_GB2312" w:hint="eastAsia"/>
          <w:color w:val="000000"/>
          <w:sz w:val="32"/>
          <w:szCs w:val="32"/>
        </w:rPr>
        <w:t>上社区学习平台，以在职人员岗位培训和下岗失业人员培训为重点，开展“惠民、惠企、惠农”教育培训。</w:t>
      </w:r>
      <w:proofErr w:type="gramStart"/>
      <w:r>
        <w:rPr>
          <w:rFonts w:ascii="仿宋_GB2312" w:eastAsia="仿宋_GB2312" w:hAnsi="仿宋_GB2312" w:cs="仿宋_GB2312" w:hint="eastAsia"/>
          <w:color w:val="000000"/>
          <w:sz w:val="32"/>
          <w:szCs w:val="32"/>
        </w:rPr>
        <w:t>“十四五”末市示范性</w:t>
      </w:r>
      <w:proofErr w:type="gramEnd"/>
      <w:r>
        <w:rPr>
          <w:rFonts w:ascii="仿宋_GB2312" w:eastAsia="仿宋_GB2312" w:hAnsi="仿宋_GB2312" w:cs="仿宋_GB2312" w:hint="eastAsia"/>
          <w:color w:val="000000"/>
          <w:sz w:val="32"/>
          <w:szCs w:val="32"/>
        </w:rPr>
        <w:t>社区教育中心创建完成率达60%，完成国家级社区教育实验区和国家级社区教育示范区创建。</w:t>
      </w:r>
    </w:p>
    <w:p w14:paraId="55125F1C" w14:textId="77777777" w:rsidR="006362A7" w:rsidRDefault="00376903">
      <w:pPr>
        <w:spacing w:line="540" w:lineRule="exact"/>
        <w:ind w:firstLineChars="200" w:firstLine="640"/>
        <w:outlineLvl w:val="0"/>
        <w:rPr>
          <w:rFonts w:ascii="黑体" w:eastAsia="黑体" w:hAnsi="黑体" w:cs="黑体"/>
          <w:sz w:val="32"/>
          <w:szCs w:val="32"/>
        </w:rPr>
      </w:pPr>
      <w:bookmarkStart w:id="120" w:name="_Toc194"/>
      <w:bookmarkStart w:id="121" w:name="_Toc27646"/>
      <w:bookmarkStart w:id="122" w:name="_Toc22056"/>
      <w:bookmarkStart w:id="123" w:name="_Toc13153"/>
      <w:bookmarkStart w:id="124" w:name="_Toc19119"/>
      <w:r>
        <w:rPr>
          <w:rFonts w:ascii="黑体" w:eastAsia="黑体" w:hAnsi="黑体" w:cs="黑体" w:hint="eastAsia"/>
          <w:sz w:val="32"/>
          <w:szCs w:val="32"/>
        </w:rPr>
        <w:t>四、“十四五”教育事业发展重要举措</w:t>
      </w:r>
      <w:bookmarkEnd w:id="120"/>
      <w:bookmarkEnd w:id="121"/>
      <w:bookmarkEnd w:id="122"/>
      <w:bookmarkEnd w:id="123"/>
      <w:bookmarkEnd w:id="124"/>
    </w:p>
    <w:p w14:paraId="3CD78E7D" w14:textId="77777777" w:rsidR="006362A7" w:rsidRDefault="00376903">
      <w:pPr>
        <w:pStyle w:val="11"/>
        <w:numPr>
          <w:ilvl w:val="0"/>
          <w:numId w:val="5"/>
        </w:numPr>
        <w:spacing w:line="540" w:lineRule="exact"/>
        <w:ind w:firstLineChars="200" w:firstLine="640"/>
        <w:outlineLvl w:val="1"/>
      </w:pPr>
      <w:bookmarkStart w:id="125" w:name="_Toc18265"/>
      <w:bookmarkStart w:id="126" w:name="_Toc32319"/>
      <w:bookmarkStart w:id="127" w:name="_Toc1423"/>
      <w:bookmarkStart w:id="128" w:name="_Toc13890"/>
      <w:r>
        <w:rPr>
          <w:rFonts w:hint="eastAsia"/>
        </w:rPr>
        <w:t>坚持“五育”并举，</w:t>
      </w:r>
      <w:bookmarkEnd w:id="125"/>
      <w:r>
        <w:rPr>
          <w:rFonts w:hint="eastAsia"/>
        </w:rPr>
        <w:t>深化素质教育</w:t>
      </w:r>
      <w:bookmarkEnd w:id="126"/>
      <w:bookmarkEnd w:id="127"/>
      <w:bookmarkEnd w:id="128"/>
    </w:p>
    <w:p w14:paraId="348218AB"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树立科学的教育质量观。着力在坚定理想信念、厚植爱国主义情怀、加强品德修养、增长知识见识、</w:t>
      </w:r>
      <w:proofErr w:type="gramStart"/>
      <w:r>
        <w:rPr>
          <w:rFonts w:ascii="仿宋_GB2312" w:eastAsia="仿宋_GB2312" w:hAnsi="仿宋_GB2312" w:cs="仿宋_GB2312" w:hint="eastAsia"/>
          <w:color w:val="000000"/>
          <w:sz w:val="32"/>
          <w:szCs w:val="32"/>
        </w:rPr>
        <w:t>培养奋斗</w:t>
      </w:r>
      <w:proofErr w:type="gramEnd"/>
      <w:r>
        <w:rPr>
          <w:rFonts w:ascii="仿宋_GB2312" w:eastAsia="仿宋_GB2312" w:hAnsi="仿宋_GB2312" w:cs="仿宋_GB2312" w:hint="eastAsia"/>
          <w:color w:val="000000"/>
          <w:sz w:val="32"/>
          <w:szCs w:val="32"/>
        </w:rPr>
        <w:t>精神、增强综合素质上下功夫。</w:t>
      </w:r>
    </w:p>
    <w:p w14:paraId="7DF927FE"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提升智育水平。严格按照国家课程方案和课程标准实施</w:t>
      </w:r>
      <w:r>
        <w:rPr>
          <w:rFonts w:ascii="仿宋_GB2312" w:eastAsia="仿宋_GB2312" w:hAnsi="仿宋_GB2312" w:cs="仿宋_GB2312" w:hint="eastAsia"/>
          <w:color w:val="000000"/>
          <w:sz w:val="32"/>
          <w:szCs w:val="32"/>
        </w:rPr>
        <w:lastRenderedPageBreak/>
        <w:t>教学，确保学生达到国家规定学业质量标准。充分发挥教师主导作用，突出学生主体地位，上好每一堂课。用好江苏省名师空中课堂、苏州线上教育中心相城</w:t>
      </w:r>
      <w:r>
        <w:rPr>
          <w:rFonts w:ascii="仿宋_GB2312" w:eastAsia="仿宋_GB2312" w:hAnsi="仿宋_GB2312" w:cs="仿宋_GB2312"/>
          <w:color w:val="000000"/>
          <w:sz w:val="32"/>
          <w:szCs w:val="32"/>
        </w:rPr>
        <w:t>分中心的资源</w:t>
      </w:r>
      <w:r>
        <w:rPr>
          <w:rFonts w:ascii="仿宋_GB2312" w:eastAsia="仿宋_GB2312" w:hAnsi="仿宋_GB2312" w:cs="仿宋_GB2312" w:hint="eastAsia"/>
          <w:color w:val="000000"/>
          <w:sz w:val="32"/>
          <w:szCs w:val="32"/>
        </w:rPr>
        <w:t>，发展更多基于互联网的教育服务新模式，促进优质教育资源共建共享。加强科技教育和实验教学，推动中小学开设人工智能、编程教育、</w:t>
      </w:r>
      <w:proofErr w:type="gramStart"/>
      <w:r>
        <w:rPr>
          <w:rFonts w:ascii="仿宋_GB2312" w:eastAsia="仿宋_GB2312" w:hAnsi="仿宋_GB2312" w:cs="仿宋_GB2312" w:hint="eastAsia"/>
          <w:color w:val="000000"/>
          <w:sz w:val="32"/>
          <w:szCs w:val="32"/>
        </w:rPr>
        <w:t>创客教育</w:t>
      </w:r>
      <w:proofErr w:type="gramEnd"/>
      <w:r>
        <w:rPr>
          <w:rFonts w:ascii="仿宋_GB2312" w:eastAsia="仿宋_GB2312" w:hAnsi="仿宋_GB2312" w:cs="仿宋_GB2312" w:hint="eastAsia"/>
          <w:color w:val="000000"/>
          <w:sz w:val="32"/>
          <w:szCs w:val="32"/>
        </w:rPr>
        <w:t>、STEAM教育等科学活动类课程，培养学生的科学精神和科学价值观。大力整治校外培训机构，坚决治理各类违背教育规律、干扰教育秩序、破坏教育生态的现象，真正把时间空间、把兴趣爱好、把健康快乐还给学生。</w:t>
      </w:r>
    </w:p>
    <w:p w14:paraId="5A802D3D"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增强体育锻炼。落实《中共中央办公厅、国务院办公厅印发关于全面加强和改进新时代学校体育工作的意见》，加强生命教育和学校健康教育，配齐配强体育教师，开齐开足上好体育课，大力推进校园足球普及，推进学校体育评价改革，推动青少年文化学习和体育锻炼协调发展，帮助学生在体育锻炼中享受乐趣、增强体质、健全人格、锤炼意志。</w:t>
      </w:r>
    </w:p>
    <w:p w14:paraId="025461A5" w14:textId="77777777" w:rsidR="006362A7" w:rsidRDefault="00376903">
      <w:pPr>
        <w:spacing w:line="5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000000"/>
          <w:sz w:val="32"/>
          <w:szCs w:val="32"/>
        </w:rPr>
        <w:t>加强美育熏陶。落实《中共中央办公厅、国务院办公厅印发关于全面加强和改进新时代学校美育工作的意见》，弘扬中华美育精神，配齐配强美育教师，开齐开足上好美育课，把美育纳入各级各类学校人才培养全过程，不断完善美育课程和教材体系，提高学生审美和人文素养。</w:t>
      </w:r>
    </w:p>
    <w:p w14:paraId="7A329A4E" w14:textId="77777777" w:rsidR="006362A7" w:rsidRDefault="00376903">
      <w:pPr>
        <w:spacing w:line="540" w:lineRule="exact"/>
        <w:ind w:firstLineChars="200" w:firstLine="640"/>
        <w:rPr>
          <w:rFonts w:ascii="仿宋" w:eastAsia="仿宋" w:hAnsi="仿宋" w:cs="仿宋"/>
          <w:color w:val="000000"/>
          <w:sz w:val="32"/>
          <w:szCs w:val="32"/>
        </w:rPr>
      </w:pPr>
      <w:r>
        <w:rPr>
          <w:rFonts w:ascii="仿宋_GB2312" w:eastAsia="仿宋_GB2312" w:hAnsi="仿宋_GB2312" w:cs="仿宋_GB2312" w:hint="eastAsia"/>
          <w:color w:val="000000"/>
          <w:sz w:val="32"/>
          <w:szCs w:val="32"/>
        </w:rPr>
        <w:t>重视劳动教育。落实《大中小学劳动教育指导纲要（试行）》，将劳动素养纳入学生综合素质评价体系，把劳动素养评价结果作为衡量学生全面发展情况的重要内容。在家庭、学校、社会中广泛开展劳动教育，着重引导学生形成马克思主义劳动观，系统学习掌握必要的劳动技能。</w:t>
      </w:r>
    </w:p>
    <w:p w14:paraId="0256985B" w14:textId="77777777" w:rsidR="006362A7" w:rsidRDefault="00376903">
      <w:pPr>
        <w:pStyle w:val="11"/>
        <w:numPr>
          <w:ilvl w:val="0"/>
          <w:numId w:val="5"/>
        </w:numPr>
        <w:spacing w:line="540" w:lineRule="exact"/>
        <w:ind w:firstLineChars="200" w:firstLine="640"/>
        <w:outlineLvl w:val="1"/>
      </w:pPr>
      <w:bookmarkStart w:id="129" w:name="_Toc30854"/>
      <w:bookmarkStart w:id="130" w:name="_Toc18581"/>
      <w:bookmarkStart w:id="131" w:name="_Toc19970"/>
      <w:bookmarkStart w:id="132" w:name="_Toc21210"/>
      <w:r>
        <w:rPr>
          <w:rFonts w:hint="eastAsia"/>
        </w:rPr>
        <w:lastRenderedPageBreak/>
        <w:t>深化教学改革，提高教学质量</w:t>
      </w:r>
      <w:bookmarkEnd w:id="129"/>
      <w:bookmarkEnd w:id="130"/>
      <w:bookmarkEnd w:id="131"/>
      <w:bookmarkEnd w:id="132"/>
    </w:p>
    <w:p w14:paraId="4F1F8265"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优化教学常规管理。发挥</w:t>
      </w:r>
      <w:r>
        <w:rPr>
          <w:rFonts w:ascii="仿宋_GB2312" w:eastAsia="仿宋_GB2312" w:hAnsi="仿宋_GB2312" w:cs="仿宋_GB2312"/>
          <w:color w:val="000000"/>
          <w:sz w:val="32"/>
          <w:szCs w:val="32"/>
        </w:rPr>
        <w:t>区教育发展中心的教研引领作用，</w:t>
      </w:r>
      <w:r>
        <w:rPr>
          <w:rFonts w:ascii="仿宋_GB2312" w:eastAsia="仿宋_GB2312" w:hAnsi="仿宋_GB2312" w:cs="仿宋_GB2312" w:hint="eastAsia"/>
          <w:color w:val="000000"/>
          <w:sz w:val="32"/>
          <w:szCs w:val="32"/>
        </w:rPr>
        <w:t>实行层级负责制管理网络，加大对</w:t>
      </w:r>
      <w:r>
        <w:rPr>
          <w:rFonts w:ascii="仿宋_GB2312" w:eastAsia="仿宋_GB2312" w:hAnsi="仿宋_GB2312" w:cs="仿宋_GB2312"/>
          <w:color w:val="000000"/>
          <w:sz w:val="32"/>
          <w:szCs w:val="32"/>
        </w:rPr>
        <w:t>基础教育阶段学校</w:t>
      </w:r>
      <w:r>
        <w:rPr>
          <w:rFonts w:ascii="仿宋_GB2312" w:eastAsia="仿宋_GB2312" w:hAnsi="仿宋_GB2312" w:cs="仿宋_GB2312" w:hint="eastAsia"/>
          <w:color w:val="000000"/>
          <w:sz w:val="32"/>
          <w:szCs w:val="32"/>
        </w:rPr>
        <w:t>教学常规的督察考核，从备课、上课、作业、辅导、测评各个环节出发，优化课堂教学结构，强化课堂过程管理，落实每一个教学环节的目标任务，努力提高课堂教学效益。</w:t>
      </w:r>
    </w:p>
    <w:p w14:paraId="06DA4466"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积极开展教育科研。以科研</w:t>
      </w:r>
      <w:r>
        <w:rPr>
          <w:rFonts w:ascii="仿宋_GB2312" w:eastAsia="仿宋_GB2312" w:hAnsi="仿宋_GB2312" w:cs="仿宋_GB2312"/>
          <w:color w:val="000000"/>
          <w:sz w:val="32"/>
          <w:szCs w:val="32"/>
        </w:rPr>
        <w:t>带动教研</w:t>
      </w:r>
      <w:r>
        <w:rPr>
          <w:rFonts w:ascii="仿宋_GB2312" w:eastAsia="仿宋_GB2312" w:hAnsi="仿宋_GB2312" w:cs="仿宋_GB2312" w:hint="eastAsia"/>
          <w:color w:val="000000"/>
          <w:sz w:val="32"/>
          <w:szCs w:val="32"/>
        </w:rPr>
        <w:t>，推进教研活动常规化、制度化，组织好听课、评课，抓好教学反思，运用现代教育技术和网上教学资源做好课堂教学模式的转变，自上而下形成“落实教研，优化教学，突破评估”的良好氛围。认真落实新课程改革，充分挖掘本区域特色资源，深入开展新高考模式、初高中贯通培养等教育科研专项研究，提高教师理论素养和教学水平。</w:t>
      </w:r>
    </w:p>
    <w:p w14:paraId="7E7EB027" w14:textId="77777777" w:rsidR="006362A7" w:rsidRDefault="00376903">
      <w:pPr>
        <w:pStyle w:val="11"/>
        <w:spacing w:line="540" w:lineRule="exact"/>
        <w:ind w:firstLineChars="200" w:firstLine="640"/>
        <w:outlineLvl w:val="1"/>
      </w:pPr>
      <w:bookmarkStart w:id="133" w:name="_Toc19349"/>
      <w:bookmarkStart w:id="134" w:name="_Toc30483"/>
      <w:bookmarkStart w:id="135" w:name="_Toc12242"/>
      <w:bookmarkStart w:id="136" w:name="_Toc19215"/>
      <w:r>
        <w:rPr>
          <w:rFonts w:hint="eastAsia"/>
        </w:rPr>
        <w:t>（三）打造高素质师资，建设高质量教师队伍</w:t>
      </w:r>
      <w:bookmarkEnd w:id="133"/>
      <w:bookmarkEnd w:id="134"/>
      <w:bookmarkEnd w:id="135"/>
      <w:bookmarkEnd w:id="136"/>
    </w:p>
    <w:p w14:paraId="5D38C3B9" w14:textId="77777777" w:rsidR="006362A7" w:rsidRDefault="00376903">
      <w:pPr>
        <w:pStyle w:val="a6"/>
        <w:spacing w:line="540" w:lineRule="exact"/>
        <w:rPr>
          <w:rFonts w:ascii="仿宋_GB2312" w:eastAsia="仿宋_GB2312" w:cs="仿宋_GB2312"/>
          <w:color w:val="000000"/>
        </w:rPr>
      </w:pPr>
      <w:r>
        <w:rPr>
          <w:rFonts w:ascii="仿宋_GB2312" w:eastAsia="仿宋_GB2312" w:cs="仿宋_GB2312" w:hint="eastAsia"/>
          <w:color w:val="000000"/>
        </w:rPr>
        <w:t>加强师德师风建设。健全师德建设长效机制和监督机制，大力弘扬高尚师德，</w:t>
      </w:r>
      <w:proofErr w:type="gramStart"/>
      <w:r>
        <w:rPr>
          <w:rFonts w:ascii="仿宋_GB2312" w:eastAsia="仿宋_GB2312" w:cs="仿宋_GB2312" w:hint="eastAsia"/>
          <w:color w:val="000000"/>
        </w:rPr>
        <w:t>践行</w:t>
      </w:r>
      <w:proofErr w:type="gramEnd"/>
      <w:r>
        <w:rPr>
          <w:rFonts w:ascii="仿宋_GB2312" w:eastAsia="仿宋_GB2312" w:cs="仿宋_GB2312" w:hint="eastAsia"/>
          <w:color w:val="000000"/>
        </w:rPr>
        <w:t>社会主义核心价值观，推进“四有好老师”团队建设。</w:t>
      </w:r>
    </w:p>
    <w:p w14:paraId="65B97E46" w14:textId="77777777" w:rsidR="006362A7" w:rsidRDefault="00376903">
      <w:pPr>
        <w:pStyle w:val="a6"/>
        <w:spacing w:line="540" w:lineRule="exact"/>
        <w:rPr>
          <w:rFonts w:ascii="仿宋_GB2312" w:eastAsia="仿宋_GB2312" w:cs="仿宋_GB2312"/>
          <w:color w:val="000000"/>
        </w:rPr>
      </w:pPr>
      <w:r>
        <w:rPr>
          <w:rFonts w:ascii="仿宋_GB2312" w:eastAsia="仿宋_GB2312" w:cs="仿宋_GB2312" w:hint="eastAsia"/>
          <w:color w:val="000000"/>
        </w:rPr>
        <w:t>完善教师管理制度。根据教育事业发展需要，通过校园招聘和政府购买服务等多种方式加大教师引进力度，严把教师入口关。加速推进义务教育学校教师交流轮岗工作制度化、常态化和科学化。建立以师生比、课时量、教育质量等要素为主要依据的中小学教师绩效分配方式，以绩取酬，适度拉开绩效分配差距。</w:t>
      </w:r>
    </w:p>
    <w:p w14:paraId="182E3D1E" w14:textId="77777777" w:rsidR="006362A7" w:rsidRDefault="00376903">
      <w:pPr>
        <w:pStyle w:val="a6"/>
        <w:spacing w:line="540" w:lineRule="exact"/>
        <w:rPr>
          <w:rFonts w:ascii="仿宋" w:eastAsia="仿宋" w:hAnsi="仿宋" w:cs="仿宋"/>
        </w:rPr>
      </w:pPr>
      <w:r>
        <w:rPr>
          <w:rFonts w:ascii="仿宋_GB2312" w:eastAsia="仿宋_GB2312" w:cs="仿宋_GB2312" w:hint="eastAsia"/>
          <w:color w:val="000000"/>
        </w:rPr>
        <w:t>加大教师培育力度。实施骨干教师培养工程、教师信息化教学能力提升工程，</w:t>
      </w:r>
      <w:r>
        <w:rPr>
          <w:rFonts w:ascii="仿宋_GB2312" w:eastAsia="仿宋_GB2312" w:cs="仿宋_GB2312" w:hint="eastAsia"/>
        </w:rPr>
        <w:t>引领全区教师队伍专业化发展。统筹</w:t>
      </w:r>
      <w:r>
        <w:rPr>
          <w:rFonts w:ascii="仿宋_GB2312" w:eastAsia="仿宋_GB2312" w:cs="仿宋_GB2312" w:hint="eastAsia"/>
        </w:rPr>
        <w:lastRenderedPageBreak/>
        <w:t>规划和实施教师继续教育，为教师提供更高层次和水平的培训机会，促进教师更新教育理念，转变教育方式。完善校本研修制度，发挥校本研修的基础作用。继续选拔骨干教师成立名师工作室，吸纳更多优秀教师进入名师工作室学习交流，帮助青年教师迅速成长。</w:t>
      </w:r>
    </w:p>
    <w:p w14:paraId="40EB5AC6" w14:textId="77777777" w:rsidR="006362A7" w:rsidRDefault="00376903">
      <w:pPr>
        <w:pStyle w:val="11"/>
        <w:spacing w:line="540" w:lineRule="exact"/>
        <w:ind w:firstLineChars="200" w:firstLine="640"/>
        <w:outlineLvl w:val="1"/>
      </w:pPr>
      <w:bookmarkStart w:id="137" w:name="_Toc11208"/>
      <w:bookmarkStart w:id="138" w:name="_Toc27001"/>
      <w:bookmarkStart w:id="139" w:name="_Toc27588"/>
      <w:bookmarkStart w:id="140" w:name="_Toc27048"/>
      <w:bookmarkStart w:id="141" w:name="_Toc23894"/>
      <w:bookmarkStart w:id="142" w:name="_Toc32627"/>
      <w:r>
        <w:rPr>
          <w:rFonts w:hint="eastAsia"/>
        </w:rPr>
        <w:t>（四）提升信息化水平，加快智慧教育建设</w:t>
      </w:r>
      <w:bookmarkEnd w:id="137"/>
      <w:bookmarkEnd w:id="138"/>
      <w:bookmarkEnd w:id="139"/>
      <w:bookmarkEnd w:id="140"/>
    </w:p>
    <w:p w14:paraId="20064495"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加快网络基础设施建设。促进教育信息化基础环境全覆盖，实现教育城域网万兆进校园、千兆到班级、百兆到桌面。教学应用覆盖全体教师、学习应用覆盖全体适龄学生、数字校园建设覆盖全体学校。全面推进相城区数字校园云平台建设，实现教育数据统一采集、统一认证与全面深度治理。</w:t>
      </w:r>
    </w:p>
    <w:p w14:paraId="2B81DC20"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推进优质教育信息资源共建共享。加快完善苏州线上教育中心相城分中心二期建设及云上教育同城帮扶建设，不断扩大“微阅读”平台覆盖面。</w:t>
      </w:r>
      <w:r>
        <w:rPr>
          <w:rFonts w:ascii="仿宋_GB2312" w:eastAsia="仿宋_GB2312" w:hAnsi="仿宋_GB2312" w:cs="仿宋_GB2312" w:hint="eastAsia"/>
          <w:color w:val="000000"/>
          <w:sz w:val="32"/>
          <w:szCs w:val="32"/>
        </w:rPr>
        <w:t>推进教育管理信息系统互联互通，实现教育信息共享</w:t>
      </w:r>
      <w:r>
        <w:rPr>
          <w:rFonts w:ascii="仿宋_GB2312" w:eastAsia="仿宋_GB2312" w:hAnsi="仿宋_GB2312" w:cs="仿宋_GB2312" w:hint="eastAsia"/>
          <w:sz w:val="32"/>
          <w:szCs w:val="32"/>
        </w:rPr>
        <w:t>。</w:t>
      </w:r>
    </w:p>
    <w:p w14:paraId="2FE682DB" w14:textId="77777777" w:rsidR="006362A7" w:rsidRDefault="00376903">
      <w:pPr>
        <w:spacing w:line="540" w:lineRule="exact"/>
        <w:ind w:firstLineChars="200" w:firstLine="640"/>
      </w:pPr>
      <w:r>
        <w:rPr>
          <w:rFonts w:ascii="仿宋_GB2312" w:eastAsia="仿宋_GB2312" w:hAnsi="仿宋_GB2312" w:cs="仿宋_GB2312" w:hint="eastAsia"/>
          <w:sz w:val="32"/>
          <w:szCs w:val="32"/>
        </w:rPr>
        <w:t>促进教育教学与信息技术深度融合。通过信息化手段推进相城教育理念更新、模式变革、体系重构，深度融合大数据、人工智能、区块链等新兴技术，以科技智慧赋能教育教学，助力相城教育现代化。</w:t>
      </w:r>
    </w:p>
    <w:p w14:paraId="3936CD1F" w14:textId="77777777" w:rsidR="006362A7" w:rsidRDefault="00376903">
      <w:pPr>
        <w:pStyle w:val="11"/>
        <w:spacing w:line="540" w:lineRule="exact"/>
        <w:ind w:firstLineChars="200" w:firstLine="640"/>
        <w:outlineLvl w:val="1"/>
      </w:pPr>
      <w:bookmarkStart w:id="143" w:name="_Toc6918"/>
      <w:bookmarkStart w:id="144" w:name="_Toc21301"/>
      <w:r>
        <w:rPr>
          <w:rFonts w:hint="eastAsia"/>
        </w:rPr>
        <w:t>（五）深化体制改革，推进教育治理体系和治理能力现代化</w:t>
      </w:r>
      <w:bookmarkEnd w:id="141"/>
      <w:bookmarkEnd w:id="142"/>
      <w:bookmarkEnd w:id="143"/>
      <w:bookmarkEnd w:id="144"/>
    </w:p>
    <w:p w14:paraId="0667F5A2"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完善教育评价体系。落实《深化新</w:t>
      </w:r>
      <w:r>
        <w:rPr>
          <w:rFonts w:ascii="仿宋_GB2312" w:eastAsia="仿宋_GB2312" w:hAnsi="仿宋_GB2312" w:cs="仿宋_GB2312" w:hint="eastAsia"/>
          <w:sz w:val="32"/>
          <w:szCs w:val="32"/>
        </w:rPr>
        <w:t>时代教育评价改革总体方案》，改革学校评价，坚持把立德</w:t>
      </w:r>
      <w:proofErr w:type="gramStart"/>
      <w:r>
        <w:rPr>
          <w:rFonts w:ascii="仿宋_GB2312" w:eastAsia="仿宋_GB2312" w:hAnsi="仿宋_GB2312" w:cs="仿宋_GB2312" w:hint="eastAsia"/>
          <w:sz w:val="32"/>
          <w:szCs w:val="32"/>
        </w:rPr>
        <w:t>树人成效</w:t>
      </w:r>
      <w:proofErr w:type="gramEnd"/>
      <w:r>
        <w:rPr>
          <w:rFonts w:ascii="仿宋_GB2312" w:eastAsia="仿宋_GB2312" w:hAnsi="仿宋_GB2312" w:cs="仿宋_GB2312" w:hint="eastAsia"/>
          <w:sz w:val="32"/>
          <w:szCs w:val="32"/>
        </w:rPr>
        <w:t>作为根本标准，加快完善各级各类学校评价标准；改革教师评价，坚持把师德师风作为第一标准，突出教育教学实绩；改革学生评</w:t>
      </w:r>
      <w:r>
        <w:rPr>
          <w:rFonts w:ascii="仿宋_GB2312" w:eastAsia="仿宋_GB2312" w:hAnsi="仿宋_GB2312" w:cs="仿宋_GB2312" w:hint="eastAsia"/>
          <w:sz w:val="32"/>
          <w:szCs w:val="32"/>
        </w:rPr>
        <w:lastRenderedPageBreak/>
        <w:t>价，树立科学成才观念，促进德智体美劳全面发展；改革用人评价，树立正确用人导向，营造教育发展良好环境。</w:t>
      </w:r>
    </w:p>
    <w:p w14:paraId="5D46F362" w14:textId="77777777" w:rsidR="006362A7" w:rsidRDefault="00376903">
      <w:pPr>
        <w:spacing w:line="540" w:lineRule="exact"/>
        <w:ind w:firstLineChars="200" w:firstLine="640"/>
      </w:pPr>
      <w:r>
        <w:rPr>
          <w:rFonts w:ascii="仿宋_GB2312" w:eastAsia="仿宋_GB2312" w:hAnsi="仿宋_GB2312" w:cs="仿宋_GB2312" w:hint="eastAsia"/>
          <w:color w:val="000000"/>
          <w:sz w:val="32"/>
          <w:szCs w:val="32"/>
        </w:rPr>
        <w:t>深化教育督导改革，加强教育督导机构和督学队伍建设，进一步完善中小学、幼儿园责任督学挂牌督导制度，构建督政、督学、评估监测“三位一体”的教育督导体系。依法开展综合、专项和常态相结合的教育督导工作，对镇（街道、区）政府履行教育职责情况进行考核，对各级各类学校教育教学质量、办学条件、办学行为和实施素质教育等进行督导，确保党的教育方针政策落地生根。</w:t>
      </w:r>
      <w:proofErr w:type="gramStart"/>
      <w:r>
        <w:rPr>
          <w:rFonts w:ascii="仿宋_GB2312" w:eastAsia="仿宋_GB2312" w:hAnsi="仿宋_GB2312" w:cs="仿宋_GB2312" w:hint="eastAsia"/>
          <w:color w:val="000000"/>
          <w:sz w:val="32"/>
          <w:szCs w:val="32"/>
        </w:rPr>
        <w:t>强化省</w:t>
      </w:r>
      <w:proofErr w:type="gramEnd"/>
      <w:r>
        <w:rPr>
          <w:rFonts w:ascii="仿宋_GB2312" w:eastAsia="仿宋_GB2312" w:hAnsi="仿宋_GB2312" w:cs="仿宋_GB2312" w:hint="eastAsia"/>
          <w:color w:val="000000"/>
          <w:sz w:val="32"/>
          <w:szCs w:val="32"/>
        </w:rPr>
        <w:t>教育现代化建设监测的目标导向，加强区域义务教育优质均衡发展年度监测及跟踪，发挥监测评估工作的鉴定、诊断和改进功能，服务政府决策。加强和改进教育评价监测，不断创新教育督导方式，提升教育督导信息化水平。强化社会监督评价，畅通社会各界沟通渠道，主动接受学生家长、社会等多形式监督，真正办人民满意的教育。</w:t>
      </w:r>
    </w:p>
    <w:p w14:paraId="05F3E4E6" w14:textId="77777777" w:rsidR="006362A7" w:rsidRDefault="00376903">
      <w:pPr>
        <w:spacing w:line="540" w:lineRule="exact"/>
        <w:ind w:firstLineChars="200" w:firstLine="640"/>
      </w:pPr>
      <w:r>
        <w:rPr>
          <w:rFonts w:ascii="仿宋_GB2312" w:eastAsia="仿宋_GB2312" w:hAnsi="仿宋_GB2312" w:cs="仿宋_GB2312" w:hint="eastAsia"/>
          <w:sz w:val="32"/>
          <w:szCs w:val="32"/>
        </w:rPr>
        <w:t>加大教育领域“放管服”改革力度。进一步完善学校（幼儿园）属地化管理制度，推进事权下沉，简化管理层级，提升管理成效</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完善教育系统“双随机，</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公开”监管模式，建立由教育行政部门统筹对学校和其他教育机构实施行政检查的制度，合理确定随机抽查的比例和频次，减少对学校正常办学活动的干扰。落实教育行政执法“三项制度”。</w:t>
      </w:r>
      <w:bookmarkStart w:id="145" w:name="_Toc15809"/>
      <w:bookmarkStart w:id="146" w:name="_Toc942"/>
      <w:r>
        <w:rPr>
          <w:rFonts w:ascii="仿宋_GB2312" w:eastAsia="仿宋_GB2312" w:hAnsi="仿宋_GB2312" w:cs="仿宋_GB2312" w:hint="eastAsia"/>
          <w:sz w:val="32"/>
          <w:szCs w:val="32"/>
        </w:rPr>
        <w:t>加强校务公开，依法落实和保障师生的知情权、参与权、表达权和监督权，打造法治学校、廉洁学校、服务型学校。完善中小学、幼儿园家长委员会制度，推动家长转变教育观念，树立良好家风，提高家庭教育水平，</w:t>
      </w:r>
      <w:proofErr w:type="gramStart"/>
      <w:r>
        <w:rPr>
          <w:rFonts w:ascii="仿宋_GB2312" w:eastAsia="仿宋_GB2312" w:hAnsi="仿宋_GB2312" w:cs="仿宋_GB2312" w:hint="eastAsia"/>
          <w:sz w:val="32"/>
          <w:szCs w:val="32"/>
        </w:rPr>
        <w:t>形成家</w:t>
      </w:r>
      <w:proofErr w:type="gramEnd"/>
      <w:r>
        <w:rPr>
          <w:rFonts w:ascii="仿宋_GB2312" w:eastAsia="仿宋_GB2312" w:hAnsi="仿宋_GB2312" w:cs="仿宋_GB2312" w:hint="eastAsia"/>
          <w:sz w:val="32"/>
          <w:szCs w:val="32"/>
        </w:rPr>
        <w:t>校育人合力。加</w:t>
      </w:r>
      <w:r>
        <w:rPr>
          <w:rFonts w:ascii="仿宋_GB2312" w:eastAsia="仿宋_GB2312" w:hAnsi="仿宋_GB2312" w:cs="仿宋_GB2312" w:hint="eastAsia"/>
          <w:sz w:val="32"/>
          <w:szCs w:val="32"/>
        </w:rPr>
        <w:lastRenderedPageBreak/>
        <w:t>强普法宣传，切实提高运用法治思维和法</w:t>
      </w:r>
      <w:r>
        <w:rPr>
          <w:rFonts w:ascii="仿宋_GB2312" w:eastAsia="仿宋_GB2312" w:hAnsi="仿宋_GB2312" w:cs="仿宋_GB2312" w:hint="eastAsia"/>
          <w:sz w:val="32"/>
          <w:szCs w:val="40"/>
        </w:rPr>
        <w:t>律手段解决学校改革发展中突出矛盾和问题的能力。</w:t>
      </w:r>
    </w:p>
    <w:p w14:paraId="78A10D6A" w14:textId="77777777" w:rsidR="006362A7" w:rsidRDefault="00376903">
      <w:pPr>
        <w:pStyle w:val="11"/>
        <w:spacing w:line="540" w:lineRule="exact"/>
        <w:ind w:firstLineChars="200" w:firstLine="640"/>
        <w:outlineLvl w:val="1"/>
      </w:pPr>
      <w:bookmarkStart w:id="147" w:name="_Toc19651"/>
      <w:bookmarkStart w:id="148" w:name="_Toc2523"/>
      <w:r>
        <w:rPr>
          <w:rFonts w:hint="eastAsia"/>
        </w:rPr>
        <w:t>（六）扩大教育开放，强化国际合作</w:t>
      </w:r>
      <w:bookmarkEnd w:id="145"/>
      <w:bookmarkEnd w:id="146"/>
      <w:bookmarkEnd w:id="147"/>
      <w:bookmarkEnd w:id="148"/>
    </w:p>
    <w:p w14:paraId="558C8EBF" w14:textId="77777777" w:rsidR="006362A7" w:rsidRDefault="00376903">
      <w:pPr>
        <w:pStyle w:val="a0"/>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支持各级各类学校开展全方位、多层次、宽领域的对外人文交流，探索境内境外</w:t>
      </w:r>
      <w:proofErr w:type="gramStart"/>
      <w:r>
        <w:rPr>
          <w:rFonts w:ascii="仿宋_GB2312" w:eastAsia="仿宋_GB2312" w:hAnsi="仿宋_GB2312" w:cs="仿宋_GB2312" w:hint="eastAsia"/>
          <w:sz w:val="32"/>
          <w:szCs w:val="32"/>
        </w:rPr>
        <w:t>教师双聘</w:t>
      </w:r>
      <w:proofErr w:type="gramEnd"/>
      <w:r>
        <w:rPr>
          <w:rFonts w:ascii="仿宋_GB2312" w:eastAsia="仿宋_GB2312" w:hAnsi="仿宋_GB2312" w:cs="仿宋_GB2312" w:hint="eastAsia"/>
          <w:sz w:val="32"/>
          <w:szCs w:val="32"/>
        </w:rPr>
        <w:t>模式，形成校际间人员交流互通机制，提升与国外友好学校结对的质与量。进一步探索创新国际理解教育的实施途径，培育建设一批国际理解教育项目和示范学校。</w:t>
      </w:r>
      <w:r>
        <w:rPr>
          <w:rFonts w:ascii="仿宋_GB2312" w:eastAsia="仿宋_GB2312" w:hAnsi="仿宋_GB2312" w:cs="仿宋_GB2312" w:hint="eastAsia"/>
          <w:color w:val="000000"/>
          <w:sz w:val="32"/>
          <w:szCs w:val="32"/>
        </w:rPr>
        <w:t>扩大和完善在相外籍人士全链条式教育服务供给，进一步契合区域经济发展格局，提升教育服务水平。</w:t>
      </w:r>
    </w:p>
    <w:p w14:paraId="0C4D1D51" w14:textId="77777777" w:rsidR="006362A7" w:rsidRDefault="00376903">
      <w:pPr>
        <w:pStyle w:val="11"/>
        <w:spacing w:line="540" w:lineRule="exact"/>
        <w:ind w:firstLineChars="200" w:firstLine="640"/>
        <w:outlineLvl w:val="1"/>
      </w:pPr>
      <w:bookmarkStart w:id="149" w:name="_Toc5103"/>
      <w:bookmarkStart w:id="150" w:name="_Toc3882"/>
      <w:bookmarkStart w:id="151" w:name="_Toc5600"/>
      <w:bookmarkStart w:id="152" w:name="_Toc7309"/>
      <w:r>
        <w:rPr>
          <w:rFonts w:hint="eastAsia"/>
        </w:rPr>
        <w:t>（七）提高学校规划水平，建设现代化学校</w:t>
      </w:r>
      <w:bookmarkEnd w:id="149"/>
      <w:bookmarkEnd w:id="150"/>
      <w:bookmarkEnd w:id="151"/>
      <w:bookmarkEnd w:id="152"/>
    </w:p>
    <w:p w14:paraId="056A5D6F" w14:textId="77777777" w:rsidR="006362A7" w:rsidRDefault="00376903">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树立规划引领思想，进一步细化、落实《相城区教育设施布局规划（2018-2035）》，经过五年努力，基本形成公办教育均衡配置、民办教育多元发展、高等教育产学结合，各类教育资源合理布局、协调发展的教育格局。</w:t>
      </w:r>
    </w:p>
    <w:p w14:paraId="5C8F16DB" w14:textId="42FF023C" w:rsidR="006362A7" w:rsidRDefault="00376903">
      <w:pPr>
        <w:spacing w:line="54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sz w:val="32"/>
          <w:szCs w:val="32"/>
        </w:rPr>
        <w:t>充分发挥区学校建设工作领导小组的决策、沟通、协调作用，加大与部门、镇（街道、区）政府的协同力度，科学编制、积极落实“十四五”学校建设计划，明晰责任，细化环</w:t>
      </w:r>
      <w:r>
        <w:rPr>
          <w:rFonts w:ascii="仿宋_GB2312" w:eastAsia="仿宋_GB2312" w:hAnsi="仿宋_GB2312" w:cs="仿宋_GB2312" w:hint="eastAsia"/>
          <w:color w:val="000000" w:themeColor="text1"/>
          <w:sz w:val="32"/>
          <w:szCs w:val="32"/>
        </w:rPr>
        <w:t>节，确保学校建设任务全面完成。“十四五”期间，全区新建学校42所，其中幼儿园16所，小学4所，初中1所，高中2所，职业学校1所，一贯制学校6所，国际学校（幼儿园）12所。</w:t>
      </w:r>
    </w:p>
    <w:p w14:paraId="786CBDDA" w14:textId="77777777" w:rsidR="006362A7" w:rsidRDefault="00376903">
      <w:pPr>
        <w:spacing w:line="540" w:lineRule="exact"/>
        <w:ind w:firstLineChars="200" w:firstLine="640"/>
        <w:rPr>
          <w:rFonts w:eastAsia="仿宋_GB2312"/>
          <w:sz w:val="32"/>
          <w:szCs w:val="32"/>
        </w:rPr>
      </w:pPr>
      <w:r>
        <w:rPr>
          <w:rFonts w:ascii="仿宋_GB2312" w:eastAsia="仿宋_GB2312" w:hAnsi="仿宋_GB2312" w:cs="仿宋_GB2312" w:hint="eastAsia"/>
          <w:color w:val="000000"/>
          <w:sz w:val="32"/>
          <w:szCs w:val="32"/>
        </w:rPr>
        <w:t>严格</w:t>
      </w:r>
      <w:r>
        <w:rPr>
          <w:rFonts w:ascii="仿宋_GB2312" w:eastAsia="仿宋_GB2312" w:hAnsi="仿宋_GB2312" w:cs="仿宋_GB2312" w:hint="eastAsia"/>
          <w:sz w:val="32"/>
          <w:szCs w:val="32"/>
        </w:rPr>
        <w:t>按照市政府办公室“八个必须”的要求，强化学校建设项目管理和质量监控，加强从规划选址、设计招标、材料采购、施工建设、时序节点等环节的全过程督查监管。严</w:t>
      </w:r>
      <w:r>
        <w:rPr>
          <w:rFonts w:ascii="仿宋_GB2312" w:eastAsia="仿宋_GB2312" w:hAnsi="仿宋_GB2312" w:cs="仿宋_GB2312" w:hint="eastAsia"/>
          <w:sz w:val="32"/>
          <w:szCs w:val="32"/>
        </w:rPr>
        <w:lastRenderedPageBreak/>
        <w:t>控时间节点，杜绝因抢时间、赶工期而影响工程质量和环境质量。高度重视建成学校的竣工验收、环境检测、校园开放和社会监督工作，确保校园建筑安全达标，切实把学校建成放心工程。</w:t>
      </w:r>
    </w:p>
    <w:p w14:paraId="7EBC3C6B" w14:textId="77777777" w:rsidR="006362A7" w:rsidRDefault="00376903">
      <w:pPr>
        <w:spacing w:line="540" w:lineRule="exact"/>
        <w:ind w:firstLineChars="200" w:firstLine="640"/>
        <w:outlineLvl w:val="0"/>
        <w:rPr>
          <w:rFonts w:ascii="黑体" w:eastAsia="黑体" w:hAnsi="黑体" w:cs="黑体"/>
          <w:sz w:val="32"/>
          <w:szCs w:val="32"/>
        </w:rPr>
      </w:pPr>
      <w:bookmarkStart w:id="153" w:name="_Toc32173"/>
      <w:bookmarkStart w:id="154" w:name="_Toc2774"/>
      <w:bookmarkStart w:id="155" w:name="_Toc25122"/>
      <w:bookmarkStart w:id="156" w:name="_Toc16052"/>
      <w:bookmarkStart w:id="157" w:name="_Toc32433"/>
      <w:r>
        <w:rPr>
          <w:rFonts w:ascii="黑体" w:eastAsia="黑体" w:hAnsi="黑体" w:cs="黑体" w:hint="eastAsia"/>
          <w:sz w:val="32"/>
          <w:szCs w:val="32"/>
        </w:rPr>
        <w:t>五、“十四五”教育事业发展保障机制</w:t>
      </w:r>
      <w:bookmarkEnd w:id="153"/>
      <w:bookmarkEnd w:id="154"/>
      <w:bookmarkEnd w:id="155"/>
      <w:bookmarkEnd w:id="156"/>
      <w:bookmarkEnd w:id="157"/>
    </w:p>
    <w:p w14:paraId="1666C830" w14:textId="77777777" w:rsidR="006362A7" w:rsidRDefault="00376903">
      <w:pPr>
        <w:pStyle w:val="11"/>
        <w:spacing w:line="540" w:lineRule="exact"/>
        <w:ind w:firstLineChars="200" w:firstLine="640"/>
        <w:outlineLvl w:val="1"/>
      </w:pPr>
      <w:bookmarkStart w:id="158" w:name="_Toc4196"/>
      <w:bookmarkStart w:id="159" w:name="_Toc8802"/>
      <w:bookmarkStart w:id="160" w:name="_Toc9"/>
      <w:bookmarkStart w:id="161" w:name="_Toc1503"/>
      <w:r>
        <w:rPr>
          <w:rFonts w:hint="eastAsia"/>
        </w:rPr>
        <w:t>（一）加强党对教育的领导</w:t>
      </w:r>
      <w:bookmarkEnd w:id="158"/>
      <w:bookmarkEnd w:id="159"/>
      <w:bookmarkEnd w:id="160"/>
      <w:bookmarkEnd w:id="161"/>
    </w:p>
    <w:p w14:paraId="001AA1E6" w14:textId="77777777" w:rsidR="006362A7" w:rsidRDefault="00376903">
      <w:pPr>
        <w:spacing w:line="540" w:lineRule="exact"/>
        <w:ind w:firstLineChars="200" w:firstLine="640"/>
        <w:rPr>
          <w:rFonts w:ascii="仿宋" w:eastAsia="仿宋" w:hAnsi="仿宋" w:cs="仿宋"/>
          <w:sz w:val="32"/>
          <w:szCs w:val="32"/>
        </w:rPr>
      </w:pPr>
      <w:r>
        <w:rPr>
          <w:rFonts w:ascii="仿宋_GB2312" w:eastAsia="仿宋_GB2312" w:hAnsi="仿宋_GB2312" w:cs="仿宋_GB2312" w:hint="eastAsia"/>
          <w:sz w:val="32"/>
          <w:szCs w:val="32"/>
        </w:rPr>
        <w:t>深入贯彻党的教育方针，坚持社会主义办学方向，坚持党要管党、从严治党要求，切实加强新形势下党对教育工作的领导，充分发挥基层党组织政治核心作用，全面提高教育系统党建工作科学化水平。</w:t>
      </w:r>
      <w:r>
        <w:rPr>
          <w:rFonts w:ascii="仿宋_GB2312" w:eastAsia="仿宋_GB2312" w:hAnsi="仿宋_GB2312" w:cs="仿宋_GB2312" w:hint="eastAsia"/>
          <w:bCs/>
          <w:sz w:val="32"/>
          <w:szCs w:val="32"/>
        </w:rPr>
        <w:t>加强学校党组织领导班子和党员队伍建设，</w:t>
      </w:r>
      <w:r>
        <w:rPr>
          <w:rFonts w:ascii="仿宋_GB2312" w:eastAsia="仿宋_GB2312" w:hAnsi="仿宋_GB2312" w:cs="仿宋_GB2312" w:hint="eastAsia"/>
          <w:sz w:val="32"/>
          <w:szCs w:val="32"/>
        </w:rPr>
        <w:t>完善党政领导配备方式，选好配强中小学校党政领导班子，培养好学校领导班子后备力量，着力推行把骨干教师培养成党员、把党员教师培养成教学和管理骨干的“双培”机制，不断优化党员队伍结构。不断增强党建工作活力，紧紧围绕立德树人的根本任务，精心设计活动载体，创新党组织活动内容和方式。</w:t>
      </w:r>
      <w:r>
        <w:rPr>
          <w:rFonts w:ascii="仿宋_GB2312" w:eastAsia="仿宋_GB2312" w:hAnsi="仿宋_GB2312" w:cs="仿宋_GB2312" w:hint="eastAsia"/>
          <w:bCs/>
          <w:sz w:val="32"/>
          <w:szCs w:val="32"/>
        </w:rPr>
        <w:t>加强学校思想政治教育工作，牢牢把握</w:t>
      </w:r>
      <w:r>
        <w:rPr>
          <w:rFonts w:ascii="仿宋_GB2312" w:eastAsia="仿宋_GB2312" w:hAnsi="仿宋_GB2312" w:cs="仿宋_GB2312" w:hint="eastAsia"/>
          <w:color w:val="000000"/>
          <w:sz w:val="32"/>
          <w:szCs w:val="32"/>
        </w:rPr>
        <w:t>党组织对意识形态工作的主导权，坚决杜绝违背社会主义核心价值观的言论进课堂、上讲台。加强党风廉政建设，把党风廉政建设纳入教育改革发展和党的建设总体工作中，引导广大教师增强党性意识、自律意识和接受监督的意识，加大对违纪违法行为的查办力度。</w:t>
      </w:r>
    </w:p>
    <w:p w14:paraId="18C19A79" w14:textId="77777777" w:rsidR="006362A7" w:rsidRDefault="00376903">
      <w:pPr>
        <w:pStyle w:val="11"/>
        <w:spacing w:line="540" w:lineRule="exact"/>
        <w:ind w:firstLineChars="200" w:firstLine="640"/>
        <w:outlineLvl w:val="1"/>
      </w:pPr>
      <w:bookmarkStart w:id="162" w:name="_Toc28580"/>
      <w:bookmarkStart w:id="163" w:name="_Toc29371"/>
      <w:bookmarkStart w:id="164" w:name="_Toc24802"/>
      <w:bookmarkStart w:id="165" w:name="_Toc30287"/>
      <w:r>
        <w:rPr>
          <w:rFonts w:hint="eastAsia"/>
        </w:rPr>
        <w:t>（二）完善教育投入保障机制</w:t>
      </w:r>
      <w:bookmarkEnd w:id="162"/>
      <w:bookmarkEnd w:id="163"/>
      <w:bookmarkEnd w:id="164"/>
      <w:bookmarkEnd w:id="165"/>
    </w:p>
    <w:p w14:paraId="564FC3FD"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全面落实教育优先发展战略。在经济社会发展规划上优先安排教育，财政资金投入上优先保障教育，公共资源配置上优先满足教育和人力资源开发需要，确保一般公共预算教</w:t>
      </w:r>
      <w:r>
        <w:rPr>
          <w:rFonts w:ascii="仿宋_GB2312" w:eastAsia="仿宋_GB2312" w:hAnsi="仿宋_GB2312" w:cs="仿宋_GB2312" w:hint="eastAsia"/>
          <w:color w:val="000000"/>
          <w:sz w:val="32"/>
          <w:szCs w:val="32"/>
        </w:rPr>
        <w:lastRenderedPageBreak/>
        <w:t>育支出</w:t>
      </w:r>
      <w:proofErr w:type="gramStart"/>
      <w:r>
        <w:rPr>
          <w:rFonts w:ascii="仿宋_GB2312" w:eastAsia="仿宋_GB2312" w:hAnsi="仿宋_GB2312" w:cs="仿宋_GB2312" w:hint="eastAsia"/>
          <w:color w:val="000000"/>
          <w:sz w:val="32"/>
          <w:szCs w:val="32"/>
        </w:rPr>
        <w:t>逐年只</w:t>
      </w:r>
      <w:proofErr w:type="gramEnd"/>
      <w:r>
        <w:rPr>
          <w:rFonts w:ascii="仿宋_GB2312" w:eastAsia="仿宋_GB2312" w:hAnsi="仿宋_GB2312" w:cs="仿宋_GB2312" w:hint="eastAsia"/>
          <w:color w:val="000000"/>
          <w:sz w:val="32"/>
          <w:szCs w:val="32"/>
        </w:rPr>
        <w:t>增不减，确保按在校学生人数平均的一般公共预算教育支出</w:t>
      </w:r>
      <w:proofErr w:type="gramStart"/>
      <w:r>
        <w:rPr>
          <w:rFonts w:ascii="仿宋_GB2312" w:eastAsia="仿宋_GB2312" w:hAnsi="仿宋_GB2312" w:cs="仿宋_GB2312" w:hint="eastAsia"/>
          <w:color w:val="000000"/>
          <w:sz w:val="32"/>
          <w:szCs w:val="32"/>
        </w:rPr>
        <w:t>逐年只</w:t>
      </w:r>
      <w:proofErr w:type="gramEnd"/>
      <w:r>
        <w:rPr>
          <w:rFonts w:ascii="仿宋_GB2312" w:eastAsia="仿宋_GB2312" w:hAnsi="仿宋_GB2312" w:cs="仿宋_GB2312" w:hint="eastAsia"/>
          <w:color w:val="000000"/>
          <w:sz w:val="32"/>
          <w:szCs w:val="32"/>
        </w:rPr>
        <w:t>增不减，严格落实各级各类教育的办学标准、生均公用经费标准和生</w:t>
      </w:r>
      <w:proofErr w:type="gramStart"/>
      <w:r>
        <w:rPr>
          <w:rFonts w:ascii="仿宋_GB2312" w:eastAsia="仿宋_GB2312" w:hAnsi="仿宋_GB2312" w:cs="仿宋_GB2312" w:hint="eastAsia"/>
          <w:color w:val="000000"/>
          <w:sz w:val="32"/>
          <w:szCs w:val="32"/>
        </w:rPr>
        <w:t>均财政</w:t>
      </w:r>
      <w:proofErr w:type="gramEnd"/>
      <w:r>
        <w:rPr>
          <w:rFonts w:ascii="仿宋_GB2312" w:eastAsia="仿宋_GB2312" w:hAnsi="仿宋_GB2312" w:cs="仿宋_GB2312" w:hint="eastAsia"/>
          <w:color w:val="000000"/>
          <w:sz w:val="32"/>
          <w:szCs w:val="32"/>
        </w:rPr>
        <w:t>拨款标准。健全中小学教师工资长效联动机制，确保中小学教师平均工资收入水平不低于或高于当地公务员平均工资收入水平。</w:t>
      </w:r>
    </w:p>
    <w:p w14:paraId="4D1E9350"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支持社会力量兴办教育。逐步提高教育经费总投入中社会投入所占比重，完善政府补贴、政府购买服务、基金奖励、捐资激励、土地划拨等政策制度，依法落实税费减免政策，引导社会力量加大教育投入。探索设立民办教育发展资金，用于发展非营利性民办学校。</w:t>
      </w:r>
    </w:p>
    <w:p w14:paraId="29063E47"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调整优化经费支出结构。紧紧抓住人民群众最关心最直接最现实的教育问题，既尽力而为，又量力而行。在重点保障义务教育的前提下，优化支出结构，丰富办学资源，积极支持扩大普惠性学前教育资源、高质量普及高中阶段教育、发展现代职业教育。在改善必要办学条件的同时，加大课程改革、教学改革、教材建设、师资队伍建设、信息化建设等方面的投入力度，着力提升教育教学质量。坚持政府救助为主、社会捐赠为辅的原则，加大教育惠民助困力度，重点抓好建档立卡、</w:t>
      </w:r>
      <w:proofErr w:type="gramStart"/>
      <w:r>
        <w:rPr>
          <w:rFonts w:ascii="仿宋_GB2312" w:eastAsia="仿宋_GB2312" w:hAnsi="仿宋_GB2312" w:cs="仿宋_GB2312" w:hint="eastAsia"/>
          <w:color w:val="000000"/>
          <w:sz w:val="32"/>
          <w:szCs w:val="32"/>
        </w:rPr>
        <w:t>低保家庭</w:t>
      </w:r>
      <w:proofErr w:type="gramEnd"/>
      <w:r>
        <w:rPr>
          <w:rFonts w:ascii="仿宋_GB2312" w:eastAsia="仿宋_GB2312" w:hAnsi="仿宋_GB2312" w:cs="仿宋_GB2312" w:hint="eastAsia"/>
          <w:color w:val="000000"/>
          <w:sz w:val="32"/>
          <w:szCs w:val="32"/>
        </w:rPr>
        <w:t>、孤儿和残疾学生资助政策的落实，不断提高家庭经济困难学生生活费补助标准。</w:t>
      </w:r>
    </w:p>
    <w:p w14:paraId="6F8FF7F1" w14:textId="77777777" w:rsidR="006362A7" w:rsidRDefault="00376903">
      <w:pPr>
        <w:spacing w:line="54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切实提高教育经费使用效益。健全教育经费预算管理制度，提高预算编制的科学性、准确性，推进预决算公开。强化预算绩效目标管理，实行绩效目标实现程度和预算执行进度“双监控”，将绩效目标执行情况和绩效评价结果作为完善政策、编制预算、优化结构、改进管理的重要依据，并作</w:t>
      </w:r>
      <w:r>
        <w:rPr>
          <w:rFonts w:ascii="仿宋_GB2312" w:eastAsia="仿宋_GB2312" w:hAnsi="仿宋_GB2312" w:cs="仿宋_GB2312" w:hint="eastAsia"/>
          <w:color w:val="000000"/>
          <w:sz w:val="32"/>
          <w:szCs w:val="32"/>
        </w:rPr>
        <w:lastRenderedPageBreak/>
        <w:t>为领导干部考核的重要内容。加强教育经费使用监督，严格执行财务制度，健全教育经费审计、监察制度，强化全过程审计监督，提高教育经费使用绩效。</w:t>
      </w:r>
    </w:p>
    <w:p w14:paraId="0127C3B4" w14:textId="77777777" w:rsidR="006362A7" w:rsidRDefault="00376903">
      <w:pPr>
        <w:pStyle w:val="11"/>
        <w:spacing w:line="540" w:lineRule="exact"/>
        <w:ind w:firstLineChars="200" w:firstLine="640"/>
        <w:outlineLvl w:val="1"/>
      </w:pPr>
      <w:bookmarkStart w:id="166" w:name="_Toc23216"/>
      <w:bookmarkStart w:id="167" w:name="_Toc23477"/>
      <w:bookmarkStart w:id="168" w:name="_Toc7354"/>
      <w:bookmarkStart w:id="169" w:name="_Toc31917"/>
      <w:r>
        <w:rPr>
          <w:rFonts w:hint="eastAsia"/>
        </w:rPr>
        <w:t>（三）建立规划实施保障机制</w:t>
      </w:r>
      <w:bookmarkEnd w:id="166"/>
      <w:bookmarkEnd w:id="167"/>
      <w:bookmarkEnd w:id="168"/>
    </w:p>
    <w:p w14:paraId="6D8B7A46" w14:textId="77777777" w:rsidR="006362A7" w:rsidRDefault="00376903">
      <w:pPr>
        <w:spacing w:line="540" w:lineRule="exact"/>
        <w:ind w:firstLineChars="200" w:firstLine="640"/>
        <w:rPr>
          <w:rFonts w:ascii="仿宋_GB2312" w:eastAsia="仿宋_GB2312" w:cs="仿宋_GB2312"/>
          <w:sz w:val="32"/>
          <w:szCs w:val="32"/>
          <w:lang w:val="zh-CN"/>
        </w:rPr>
      </w:pPr>
      <w:r>
        <w:rPr>
          <w:rFonts w:ascii="仿宋_GB2312" w:eastAsia="仿宋_GB2312" w:cs="仿宋_GB2312" w:hint="eastAsia"/>
          <w:sz w:val="32"/>
          <w:szCs w:val="32"/>
          <w:lang w:val="zh-CN"/>
        </w:rPr>
        <w:t>建立党委、政府主要领导负总责，分管领导分工负责的责任体系。完善区、镇（街道、区）两级教育工作领导小组，健全党委、政府定期专题研究教育工作制度和党政领导班子成员定点联系学校制度。建立教育发展问责制，把教育发展列入各级党委政府高质量发展目标考核和主要领导政绩考核范围，作为干部任用的重要依据。</w:t>
      </w:r>
    </w:p>
    <w:p w14:paraId="1ADEBDE1" w14:textId="77777777" w:rsidR="006362A7" w:rsidRDefault="00376903">
      <w:pPr>
        <w:pStyle w:val="a0"/>
        <w:spacing w:line="540" w:lineRule="exact"/>
        <w:ind w:firstLineChars="200" w:firstLine="640"/>
        <w:jc w:val="both"/>
        <w:rPr>
          <w:rFonts w:ascii="仿宋_GB2312" w:eastAsia="仿宋_GB2312" w:cs="仿宋_GB2312"/>
          <w:sz w:val="32"/>
          <w:szCs w:val="32"/>
          <w:lang w:val="zh-CN"/>
        </w:rPr>
      </w:pPr>
      <w:r>
        <w:rPr>
          <w:rFonts w:ascii="仿宋_GB2312" w:eastAsia="仿宋_GB2312" w:cs="仿宋_GB2312" w:hint="eastAsia"/>
          <w:sz w:val="32"/>
          <w:szCs w:val="32"/>
          <w:lang w:val="zh-CN"/>
        </w:rPr>
        <w:t>建立规划实施监督机制和定期评估发布制度。定期向同级人大报告教育改革和发展情况，主动接受同级人大、政协以及社会各界的监督。加大宣传力度，自觉接受媒体监督。开展</w:t>
      </w:r>
      <w:r>
        <w:rPr>
          <w:rFonts w:ascii="仿宋_GB2312" w:eastAsia="仿宋_GB2312" w:cs="仿宋_GB2312" w:hint="eastAsia"/>
          <w:sz w:val="32"/>
          <w:szCs w:val="32"/>
        </w:rPr>
        <w:t>规划实施的</w:t>
      </w:r>
      <w:r>
        <w:rPr>
          <w:rFonts w:ascii="仿宋_GB2312" w:eastAsia="仿宋_GB2312" w:cs="仿宋_GB2312" w:hint="eastAsia"/>
          <w:sz w:val="32"/>
          <w:szCs w:val="32"/>
          <w:lang w:val="zh-CN"/>
        </w:rPr>
        <w:t>中期评估，加强教育宏观决策和发展战略研究，为规划管理决策和规划调整与修订提供基础信息和依据，提高教育决策的科学化水平。</w:t>
      </w:r>
    </w:p>
    <w:p w14:paraId="6E2715B6" w14:textId="77777777" w:rsidR="006362A7" w:rsidRDefault="00376903">
      <w:pPr>
        <w:pStyle w:val="11"/>
        <w:spacing w:line="540" w:lineRule="exact"/>
        <w:ind w:firstLineChars="200" w:firstLine="640"/>
        <w:outlineLvl w:val="1"/>
      </w:pPr>
      <w:bookmarkStart w:id="170" w:name="_Toc9671"/>
      <w:bookmarkStart w:id="171" w:name="_Toc3841"/>
      <w:bookmarkStart w:id="172" w:name="_Toc19356"/>
      <w:r>
        <w:rPr>
          <w:rFonts w:hint="eastAsia"/>
        </w:rPr>
        <w:t>（四）维护校园安全稳定</w:t>
      </w:r>
      <w:bookmarkEnd w:id="169"/>
      <w:bookmarkEnd w:id="170"/>
      <w:bookmarkEnd w:id="171"/>
      <w:bookmarkEnd w:id="172"/>
    </w:p>
    <w:p w14:paraId="71F94D05" w14:textId="6E4D0330" w:rsidR="006362A7" w:rsidRDefault="00376903" w:rsidP="00606535">
      <w:pPr>
        <w:spacing w:line="540" w:lineRule="exact"/>
        <w:ind w:firstLineChars="200" w:firstLine="640"/>
        <w:rPr>
          <w:rFonts w:ascii="仿宋_GB2312" w:eastAsia="仿宋_GB2312" w:hAnsi="仿宋_GB2312" w:cs="仿宋_GB2312"/>
          <w:sz w:val="32"/>
          <w:szCs w:val="32"/>
        </w:rPr>
        <w:sectPr w:rsidR="006362A7">
          <w:footerReference w:type="default" r:id="rId10"/>
          <w:pgSz w:w="11906" w:h="16838"/>
          <w:pgMar w:top="1440" w:right="1800" w:bottom="1440" w:left="1800" w:header="851" w:footer="992" w:gutter="0"/>
          <w:pgNumType w:start="1"/>
          <w:cols w:space="720"/>
          <w:docGrid w:type="lines" w:linePitch="312"/>
        </w:sectPr>
      </w:pPr>
      <w:r>
        <w:rPr>
          <w:rFonts w:ascii="仿宋_GB2312" w:eastAsia="仿宋_GB2312" w:hAnsi="仿宋_GB2312" w:cs="仿宋_GB2312" w:hint="eastAsia"/>
          <w:sz w:val="32"/>
          <w:szCs w:val="32"/>
        </w:rPr>
        <w:t>进一步完善政府有关部门共同参与的学校安全风险防控体系，构建与学校属地化管理机制相符合的校园安全管理体制和管理网络。健全学校安全风险预警和隐患排查双重机制，完善校舍安全保障管理长效机制，强化安全管理“一岗双责”和全员参与意识，落实各项安全管理制度</w:t>
      </w:r>
      <w:r w:rsidR="00E95A0E">
        <w:rPr>
          <w:rFonts w:ascii="仿宋_GB2312" w:eastAsia="仿宋_GB2312" w:hAnsi="仿宋_GB2312" w:cs="仿宋_GB2312" w:hint="eastAsia"/>
          <w:sz w:val="32"/>
          <w:szCs w:val="32"/>
        </w:rPr>
        <w:t>，提高校园安防技术标准，提升人员安防能力，全力保障校园安全稳定。</w:t>
      </w:r>
    </w:p>
    <w:p w14:paraId="79AF78AE" w14:textId="77777777" w:rsidR="006362A7" w:rsidRDefault="006362A7" w:rsidP="00E95A0E">
      <w:pPr>
        <w:spacing w:line="560" w:lineRule="exact"/>
        <w:rPr>
          <w:rFonts w:ascii="楷体" w:eastAsia="楷体" w:hAnsi="楷体" w:cs="楷体"/>
          <w:sz w:val="32"/>
          <w:szCs w:val="32"/>
        </w:rPr>
      </w:pPr>
      <w:bookmarkStart w:id="173" w:name="_GoBack"/>
      <w:bookmarkEnd w:id="173"/>
    </w:p>
    <w:sectPr w:rsidR="006362A7" w:rsidSect="00606535">
      <w:footerReference w:type="default" r:id="rId11"/>
      <w:pgSz w:w="11906" w:h="16838"/>
      <w:pgMar w:top="720" w:right="720" w:bottom="720" w:left="720" w:header="851" w:footer="992" w:gutter="0"/>
      <w:pgNumType w:start="2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1DB708" w14:textId="77777777" w:rsidR="00E11AB7" w:rsidRDefault="00E11AB7">
      <w:r>
        <w:separator/>
      </w:r>
    </w:p>
  </w:endnote>
  <w:endnote w:type="continuationSeparator" w:id="0">
    <w:p w14:paraId="1E372D34" w14:textId="77777777" w:rsidR="00E11AB7" w:rsidRDefault="00E11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E5F127BA-7050-4BF6-9665-7D9F13E97E74}"/>
    <w:embedBold r:id="rId2" w:fontKey="{DFBB103F-5B57-48BF-9F65-DE0286984465}"/>
  </w:font>
  <w:font w:name="方正仿宋_GBK">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5248E886-0911-4665-A09D-87AD1777729E}"/>
  </w:font>
  <w:font w:name="仿宋_GB2312">
    <w:panose1 w:val="02010609030101010101"/>
    <w:charset w:val="86"/>
    <w:family w:val="modern"/>
    <w:pitch w:val="fixed"/>
    <w:sig w:usb0="00000001" w:usb1="080E0000" w:usb2="00000010" w:usb3="00000000" w:csb0="00040000" w:csb1="00000000"/>
    <w:embedRegular r:id="rId4" w:subsetted="1" w:fontKey="{BB8E344A-78E3-4F9C-82F3-BD84EDA2593E}"/>
    <w:embedBold r:id="rId5" w:subsetted="1" w:fontKey="{398C5782-BE22-443B-B13D-EB762FFCFB00}"/>
  </w:font>
  <w:font w:name="楷体">
    <w:panose1 w:val="02010609060101010101"/>
    <w:charset w:val="86"/>
    <w:family w:val="modern"/>
    <w:pitch w:val="fixed"/>
    <w:sig w:usb0="800002BF" w:usb1="38CF7CFA" w:usb2="00000016" w:usb3="00000000" w:csb0="00040001" w:csb1="00000000"/>
    <w:embedRegular r:id="rId6" w:subsetted="1" w:fontKey="{640EA2E5-CF84-4CF1-8D5C-3B374589845A}"/>
  </w:font>
  <w:font w:name="方正小标宋简体">
    <w:panose1 w:val="03000509000000000000"/>
    <w:charset w:val="86"/>
    <w:family w:val="script"/>
    <w:pitch w:val="fixed"/>
    <w:sig w:usb0="00000001" w:usb1="080E0000" w:usb2="00000010" w:usb3="00000000" w:csb0="00040000" w:csb1="00000000"/>
    <w:embedRegular r:id="rId7" w:subsetted="1" w:fontKey="{5D39A89B-40EA-4B0D-9BEB-D1FA1973DC3C}"/>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9244434C-2CA5-4490-8B26-7592E53897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ED8A3" w14:textId="77777777" w:rsidR="006362A7" w:rsidRDefault="006362A7">
    <w:pPr>
      <w:pStyle w:val="a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74159" w14:textId="4AA5501B" w:rsidR="006362A7" w:rsidRDefault="006362A7">
    <w:pPr>
      <w:pStyle w:val="a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D340F" w14:textId="0E9010AE" w:rsidR="006362A7" w:rsidRDefault="006362A7">
    <w:pPr>
      <w:pStyle w:val="a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AAA59" w14:textId="77777777" w:rsidR="00E11AB7" w:rsidRDefault="00E11AB7">
      <w:r>
        <w:separator/>
      </w:r>
    </w:p>
  </w:footnote>
  <w:footnote w:type="continuationSeparator" w:id="0">
    <w:p w14:paraId="31B68967" w14:textId="77777777" w:rsidR="00E11AB7" w:rsidRDefault="00E11A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5B332B"/>
    <w:multiLevelType w:val="singleLevel"/>
    <w:tmpl w:val="825B332B"/>
    <w:lvl w:ilvl="0">
      <w:start w:val="1"/>
      <w:numFmt w:val="chineseCounting"/>
      <w:suff w:val="nothing"/>
      <w:lvlText w:val="（%1）"/>
      <w:lvlJc w:val="left"/>
      <w:rPr>
        <w:rFonts w:hint="eastAsia"/>
      </w:rPr>
    </w:lvl>
  </w:abstractNum>
  <w:abstractNum w:abstractNumId="1">
    <w:nsid w:val="92D3140E"/>
    <w:multiLevelType w:val="singleLevel"/>
    <w:tmpl w:val="92D3140E"/>
    <w:lvl w:ilvl="0">
      <w:start w:val="1"/>
      <w:numFmt w:val="chineseCounting"/>
      <w:suff w:val="nothing"/>
      <w:lvlText w:val="（%1）"/>
      <w:lvlJc w:val="left"/>
      <w:rPr>
        <w:rFonts w:hint="eastAsia"/>
      </w:rPr>
    </w:lvl>
  </w:abstractNum>
  <w:abstractNum w:abstractNumId="2">
    <w:nsid w:val="C51C9661"/>
    <w:multiLevelType w:val="singleLevel"/>
    <w:tmpl w:val="C51C9661"/>
    <w:lvl w:ilvl="0">
      <w:start w:val="1"/>
      <w:numFmt w:val="chineseCounting"/>
      <w:suff w:val="nothing"/>
      <w:lvlText w:val="（%1）"/>
      <w:lvlJc w:val="left"/>
      <w:rPr>
        <w:rFonts w:hint="eastAsia"/>
      </w:rPr>
    </w:lvl>
  </w:abstractNum>
  <w:abstractNum w:abstractNumId="3">
    <w:nsid w:val="FD9B0EB0"/>
    <w:multiLevelType w:val="singleLevel"/>
    <w:tmpl w:val="FD9B0EB0"/>
    <w:lvl w:ilvl="0">
      <w:start w:val="1"/>
      <w:numFmt w:val="chineseCounting"/>
      <w:suff w:val="nothing"/>
      <w:lvlText w:val="（%1）"/>
      <w:lvlJc w:val="left"/>
      <w:rPr>
        <w:rFonts w:hint="eastAsia"/>
      </w:rPr>
    </w:lvl>
  </w:abstractNum>
  <w:abstractNum w:abstractNumId="4">
    <w:nsid w:val="0518C4F2"/>
    <w:multiLevelType w:val="singleLevel"/>
    <w:tmpl w:val="0518C4F2"/>
    <w:lvl w:ilvl="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D7BFF"/>
    <w:rsid w:val="000006C7"/>
    <w:rsid w:val="0002460E"/>
    <w:rsid w:val="00030CE8"/>
    <w:rsid w:val="000516FA"/>
    <w:rsid w:val="00056D4F"/>
    <w:rsid w:val="00057EC8"/>
    <w:rsid w:val="00073081"/>
    <w:rsid w:val="000810AD"/>
    <w:rsid w:val="00083A97"/>
    <w:rsid w:val="00086099"/>
    <w:rsid w:val="000D3382"/>
    <w:rsid w:val="001149C3"/>
    <w:rsid w:val="00127300"/>
    <w:rsid w:val="00142384"/>
    <w:rsid w:val="001763F9"/>
    <w:rsid w:val="001802DA"/>
    <w:rsid w:val="001842E8"/>
    <w:rsid w:val="001A6A69"/>
    <w:rsid w:val="00222BDF"/>
    <w:rsid w:val="002745B4"/>
    <w:rsid w:val="002A7344"/>
    <w:rsid w:val="002B19A7"/>
    <w:rsid w:val="002B1E61"/>
    <w:rsid w:val="002B7C66"/>
    <w:rsid w:val="002C1302"/>
    <w:rsid w:val="002F16DE"/>
    <w:rsid w:val="00335430"/>
    <w:rsid w:val="00337CBA"/>
    <w:rsid w:val="003634B1"/>
    <w:rsid w:val="00363C89"/>
    <w:rsid w:val="00376903"/>
    <w:rsid w:val="003907D1"/>
    <w:rsid w:val="00397DEA"/>
    <w:rsid w:val="00397F30"/>
    <w:rsid w:val="003B34E1"/>
    <w:rsid w:val="003B7618"/>
    <w:rsid w:val="003E02B3"/>
    <w:rsid w:val="003F1166"/>
    <w:rsid w:val="003F23C8"/>
    <w:rsid w:val="003F6E2A"/>
    <w:rsid w:val="00406AE5"/>
    <w:rsid w:val="004253B4"/>
    <w:rsid w:val="004273CA"/>
    <w:rsid w:val="00480B9D"/>
    <w:rsid w:val="004864D4"/>
    <w:rsid w:val="004B31AD"/>
    <w:rsid w:val="004B4EF0"/>
    <w:rsid w:val="004C3FC7"/>
    <w:rsid w:val="004D50A5"/>
    <w:rsid w:val="00547759"/>
    <w:rsid w:val="00586407"/>
    <w:rsid w:val="00591727"/>
    <w:rsid w:val="005E4C27"/>
    <w:rsid w:val="005F4D96"/>
    <w:rsid w:val="00606535"/>
    <w:rsid w:val="006362A7"/>
    <w:rsid w:val="006465F0"/>
    <w:rsid w:val="0065166B"/>
    <w:rsid w:val="006545D1"/>
    <w:rsid w:val="00682135"/>
    <w:rsid w:val="0068213D"/>
    <w:rsid w:val="006952B9"/>
    <w:rsid w:val="006C0F13"/>
    <w:rsid w:val="006E2CB3"/>
    <w:rsid w:val="00713A61"/>
    <w:rsid w:val="00732138"/>
    <w:rsid w:val="00733502"/>
    <w:rsid w:val="0078493F"/>
    <w:rsid w:val="00794E30"/>
    <w:rsid w:val="007A5026"/>
    <w:rsid w:val="007E3B26"/>
    <w:rsid w:val="007F4066"/>
    <w:rsid w:val="00802743"/>
    <w:rsid w:val="00844C5A"/>
    <w:rsid w:val="00863D8F"/>
    <w:rsid w:val="00864E16"/>
    <w:rsid w:val="00866AAA"/>
    <w:rsid w:val="00877ECA"/>
    <w:rsid w:val="008916B1"/>
    <w:rsid w:val="008C6074"/>
    <w:rsid w:val="008E41A7"/>
    <w:rsid w:val="008E567A"/>
    <w:rsid w:val="00904542"/>
    <w:rsid w:val="00924D41"/>
    <w:rsid w:val="00957C88"/>
    <w:rsid w:val="0096005A"/>
    <w:rsid w:val="0097659A"/>
    <w:rsid w:val="009C19CF"/>
    <w:rsid w:val="009C7542"/>
    <w:rsid w:val="009F7CC8"/>
    <w:rsid w:val="00A16F0E"/>
    <w:rsid w:val="00A77488"/>
    <w:rsid w:val="00A824E9"/>
    <w:rsid w:val="00A90BD6"/>
    <w:rsid w:val="00A91CFB"/>
    <w:rsid w:val="00A93077"/>
    <w:rsid w:val="00AC790B"/>
    <w:rsid w:val="00AD3E36"/>
    <w:rsid w:val="00AD49B8"/>
    <w:rsid w:val="00B07239"/>
    <w:rsid w:val="00B20E33"/>
    <w:rsid w:val="00B450C8"/>
    <w:rsid w:val="00B556AC"/>
    <w:rsid w:val="00B64C10"/>
    <w:rsid w:val="00B76592"/>
    <w:rsid w:val="00B955CF"/>
    <w:rsid w:val="00BB737E"/>
    <w:rsid w:val="00BC4898"/>
    <w:rsid w:val="00BD7357"/>
    <w:rsid w:val="00BE1FB9"/>
    <w:rsid w:val="00BF181D"/>
    <w:rsid w:val="00C46092"/>
    <w:rsid w:val="00C8555F"/>
    <w:rsid w:val="00C91FD0"/>
    <w:rsid w:val="00C96BFD"/>
    <w:rsid w:val="00CC5717"/>
    <w:rsid w:val="00CC60EF"/>
    <w:rsid w:val="00D11911"/>
    <w:rsid w:val="00D74CE0"/>
    <w:rsid w:val="00D80235"/>
    <w:rsid w:val="00D93A0F"/>
    <w:rsid w:val="00DA702F"/>
    <w:rsid w:val="00DE5E1F"/>
    <w:rsid w:val="00E11AB7"/>
    <w:rsid w:val="00E175DF"/>
    <w:rsid w:val="00E21D4E"/>
    <w:rsid w:val="00E95A0E"/>
    <w:rsid w:val="00EA391A"/>
    <w:rsid w:val="00EC629B"/>
    <w:rsid w:val="00ED0336"/>
    <w:rsid w:val="00ED1CE6"/>
    <w:rsid w:val="00EE1131"/>
    <w:rsid w:val="00EF22EF"/>
    <w:rsid w:val="00EF7914"/>
    <w:rsid w:val="00F15039"/>
    <w:rsid w:val="00F15D35"/>
    <w:rsid w:val="00F16873"/>
    <w:rsid w:val="00F306BD"/>
    <w:rsid w:val="00F43F93"/>
    <w:rsid w:val="00F50FF8"/>
    <w:rsid w:val="00F66718"/>
    <w:rsid w:val="00F71DE2"/>
    <w:rsid w:val="00F80569"/>
    <w:rsid w:val="00F92CC1"/>
    <w:rsid w:val="00FA3FBA"/>
    <w:rsid w:val="00FB3211"/>
    <w:rsid w:val="00FB78C3"/>
    <w:rsid w:val="00FF7C8C"/>
    <w:rsid w:val="01364CE8"/>
    <w:rsid w:val="017639C8"/>
    <w:rsid w:val="018A2758"/>
    <w:rsid w:val="02725951"/>
    <w:rsid w:val="027738D2"/>
    <w:rsid w:val="02946298"/>
    <w:rsid w:val="029A6AEC"/>
    <w:rsid w:val="031E6BCC"/>
    <w:rsid w:val="03CD2D1D"/>
    <w:rsid w:val="03D44426"/>
    <w:rsid w:val="043D7F98"/>
    <w:rsid w:val="04931D51"/>
    <w:rsid w:val="04E30FD7"/>
    <w:rsid w:val="04E71328"/>
    <w:rsid w:val="05CB5D6C"/>
    <w:rsid w:val="05CF09FC"/>
    <w:rsid w:val="05EC1972"/>
    <w:rsid w:val="05EF5611"/>
    <w:rsid w:val="06453D72"/>
    <w:rsid w:val="064E4308"/>
    <w:rsid w:val="065E0653"/>
    <w:rsid w:val="06A86B8C"/>
    <w:rsid w:val="06AC34A5"/>
    <w:rsid w:val="07246780"/>
    <w:rsid w:val="07427A3E"/>
    <w:rsid w:val="07557859"/>
    <w:rsid w:val="075F74B0"/>
    <w:rsid w:val="077F2B38"/>
    <w:rsid w:val="078111CE"/>
    <w:rsid w:val="08063DBB"/>
    <w:rsid w:val="085909E4"/>
    <w:rsid w:val="085D514F"/>
    <w:rsid w:val="085E12CC"/>
    <w:rsid w:val="086F726C"/>
    <w:rsid w:val="08746F02"/>
    <w:rsid w:val="089800A8"/>
    <w:rsid w:val="08DD7AFF"/>
    <w:rsid w:val="08F17B59"/>
    <w:rsid w:val="09046FEE"/>
    <w:rsid w:val="091709D3"/>
    <w:rsid w:val="09452671"/>
    <w:rsid w:val="0A4379B5"/>
    <w:rsid w:val="0A5B363C"/>
    <w:rsid w:val="0ADA7047"/>
    <w:rsid w:val="0ADC52F4"/>
    <w:rsid w:val="0AE33243"/>
    <w:rsid w:val="0AF06807"/>
    <w:rsid w:val="0B2E1DD8"/>
    <w:rsid w:val="0B3001A8"/>
    <w:rsid w:val="0B4C2E81"/>
    <w:rsid w:val="0B55527D"/>
    <w:rsid w:val="0B7A33C0"/>
    <w:rsid w:val="0B983054"/>
    <w:rsid w:val="0B99149E"/>
    <w:rsid w:val="0BAC2F8C"/>
    <w:rsid w:val="0C574F72"/>
    <w:rsid w:val="0C6D24A1"/>
    <w:rsid w:val="0C7E0032"/>
    <w:rsid w:val="0C9C2FFB"/>
    <w:rsid w:val="0C9C77B5"/>
    <w:rsid w:val="0C9D1FB1"/>
    <w:rsid w:val="0CA30694"/>
    <w:rsid w:val="0CA70654"/>
    <w:rsid w:val="0CFD0066"/>
    <w:rsid w:val="0D0F7DA8"/>
    <w:rsid w:val="0D5B24D0"/>
    <w:rsid w:val="0D925880"/>
    <w:rsid w:val="0DE916B7"/>
    <w:rsid w:val="0E3A2AF4"/>
    <w:rsid w:val="0E872F9C"/>
    <w:rsid w:val="0EA0681C"/>
    <w:rsid w:val="0EDD28A9"/>
    <w:rsid w:val="0EE145B0"/>
    <w:rsid w:val="0EF97119"/>
    <w:rsid w:val="0F6476FE"/>
    <w:rsid w:val="0F6F5945"/>
    <w:rsid w:val="0F87409E"/>
    <w:rsid w:val="0FA10E15"/>
    <w:rsid w:val="103A487A"/>
    <w:rsid w:val="10661173"/>
    <w:rsid w:val="109B0519"/>
    <w:rsid w:val="10E17DFC"/>
    <w:rsid w:val="10F00A78"/>
    <w:rsid w:val="10F96917"/>
    <w:rsid w:val="11390D23"/>
    <w:rsid w:val="11B54661"/>
    <w:rsid w:val="11FB44C4"/>
    <w:rsid w:val="1224108E"/>
    <w:rsid w:val="12790505"/>
    <w:rsid w:val="128F1E56"/>
    <w:rsid w:val="12A67C06"/>
    <w:rsid w:val="12D67CFA"/>
    <w:rsid w:val="135268FA"/>
    <w:rsid w:val="13E64BA1"/>
    <w:rsid w:val="141933B5"/>
    <w:rsid w:val="14223411"/>
    <w:rsid w:val="146D161F"/>
    <w:rsid w:val="14D740A3"/>
    <w:rsid w:val="151A0947"/>
    <w:rsid w:val="151B093A"/>
    <w:rsid w:val="15393DC4"/>
    <w:rsid w:val="154A5234"/>
    <w:rsid w:val="15A126CA"/>
    <w:rsid w:val="15E53031"/>
    <w:rsid w:val="16112AD6"/>
    <w:rsid w:val="16CF421D"/>
    <w:rsid w:val="16FE619E"/>
    <w:rsid w:val="187F7BDC"/>
    <w:rsid w:val="189B2AAB"/>
    <w:rsid w:val="18B37D8E"/>
    <w:rsid w:val="18F22402"/>
    <w:rsid w:val="19061848"/>
    <w:rsid w:val="198655EE"/>
    <w:rsid w:val="1A167FFE"/>
    <w:rsid w:val="1A17540D"/>
    <w:rsid w:val="1A766D41"/>
    <w:rsid w:val="1AF62D36"/>
    <w:rsid w:val="1B1E4B8A"/>
    <w:rsid w:val="1B4916A1"/>
    <w:rsid w:val="1C192B28"/>
    <w:rsid w:val="1C1D669B"/>
    <w:rsid w:val="1C636558"/>
    <w:rsid w:val="1D303A5C"/>
    <w:rsid w:val="1D4528D7"/>
    <w:rsid w:val="1D853924"/>
    <w:rsid w:val="1DEF3261"/>
    <w:rsid w:val="1E264916"/>
    <w:rsid w:val="1E744FFE"/>
    <w:rsid w:val="1E9D643F"/>
    <w:rsid w:val="1EB42772"/>
    <w:rsid w:val="1EDB60F5"/>
    <w:rsid w:val="1EF776DB"/>
    <w:rsid w:val="1F403D34"/>
    <w:rsid w:val="1FA57023"/>
    <w:rsid w:val="201C511C"/>
    <w:rsid w:val="206128A2"/>
    <w:rsid w:val="206C1DD2"/>
    <w:rsid w:val="208031F8"/>
    <w:rsid w:val="209D54A4"/>
    <w:rsid w:val="20A21F73"/>
    <w:rsid w:val="20A638EA"/>
    <w:rsid w:val="210E469C"/>
    <w:rsid w:val="215A22CE"/>
    <w:rsid w:val="215D2F95"/>
    <w:rsid w:val="21854D43"/>
    <w:rsid w:val="218838DD"/>
    <w:rsid w:val="21A62D35"/>
    <w:rsid w:val="21C02456"/>
    <w:rsid w:val="21E359DC"/>
    <w:rsid w:val="22337379"/>
    <w:rsid w:val="227C7929"/>
    <w:rsid w:val="2287403A"/>
    <w:rsid w:val="22CC0800"/>
    <w:rsid w:val="22F701A6"/>
    <w:rsid w:val="230246B6"/>
    <w:rsid w:val="235F771F"/>
    <w:rsid w:val="23AB2ECC"/>
    <w:rsid w:val="23F61D46"/>
    <w:rsid w:val="243C77C8"/>
    <w:rsid w:val="244923CC"/>
    <w:rsid w:val="24764F66"/>
    <w:rsid w:val="24E629B8"/>
    <w:rsid w:val="253D213E"/>
    <w:rsid w:val="25437898"/>
    <w:rsid w:val="257B1B54"/>
    <w:rsid w:val="25833A81"/>
    <w:rsid w:val="258F142E"/>
    <w:rsid w:val="25B22B1E"/>
    <w:rsid w:val="25C43A34"/>
    <w:rsid w:val="265568C1"/>
    <w:rsid w:val="266D357E"/>
    <w:rsid w:val="26EB0579"/>
    <w:rsid w:val="26F958AC"/>
    <w:rsid w:val="27360223"/>
    <w:rsid w:val="278949C2"/>
    <w:rsid w:val="2794631E"/>
    <w:rsid w:val="279A3652"/>
    <w:rsid w:val="279E7F66"/>
    <w:rsid w:val="28286810"/>
    <w:rsid w:val="28356D3B"/>
    <w:rsid w:val="28647936"/>
    <w:rsid w:val="28A96D88"/>
    <w:rsid w:val="28AE1E96"/>
    <w:rsid w:val="28BE056A"/>
    <w:rsid w:val="29033636"/>
    <w:rsid w:val="29394663"/>
    <w:rsid w:val="29827E7A"/>
    <w:rsid w:val="29854172"/>
    <w:rsid w:val="299D2039"/>
    <w:rsid w:val="29C37EDB"/>
    <w:rsid w:val="29F93DCD"/>
    <w:rsid w:val="29FE5851"/>
    <w:rsid w:val="2A9C7E7E"/>
    <w:rsid w:val="2B257925"/>
    <w:rsid w:val="2B38494C"/>
    <w:rsid w:val="2B3B56DE"/>
    <w:rsid w:val="2B3C1590"/>
    <w:rsid w:val="2C035E9F"/>
    <w:rsid w:val="2C5E21E5"/>
    <w:rsid w:val="2CAF1C51"/>
    <w:rsid w:val="2CBE3326"/>
    <w:rsid w:val="2CCA00FA"/>
    <w:rsid w:val="2CE53DB9"/>
    <w:rsid w:val="2D1D32CD"/>
    <w:rsid w:val="2D202CAF"/>
    <w:rsid w:val="2D30107E"/>
    <w:rsid w:val="2D86717C"/>
    <w:rsid w:val="2D8D32A9"/>
    <w:rsid w:val="2DE97B9F"/>
    <w:rsid w:val="2ED472EC"/>
    <w:rsid w:val="2EF91863"/>
    <w:rsid w:val="2F0102E4"/>
    <w:rsid w:val="2F031E92"/>
    <w:rsid w:val="2F205082"/>
    <w:rsid w:val="2F810F25"/>
    <w:rsid w:val="2FAC0746"/>
    <w:rsid w:val="2FF5233C"/>
    <w:rsid w:val="300E4509"/>
    <w:rsid w:val="30B7695E"/>
    <w:rsid w:val="30B97780"/>
    <w:rsid w:val="30EB30CE"/>
    <w:rsid w:val="31434AAE"/>
    <w:rsid w:val="315735CA"/>
    <w:rsid w:val="31E57037"/>
    <w:rsid w:val="31EE0FD8"/>
    <w:rsid w:val="31FD1F84"/>
    <w:rsid w:val="32522A1C"/>
    <w:rsid w:val="325C42A0"/>
    <w:rsid w:val="32A37FA9"/>
    <w:rsid w:val="32C36DF7"/>
    <w:rsid w:val="32E97C52"/>
    <w:rsid w:val="32FE6ADD"/>
    <w:rsid w:val="33073F02"/>
    <w:rsid w:val="33142AF5"/>
    <w:rsid w:val="33165A57"/>
    <w:rsid w:val="333A28BD"/>
    <w:rsid w:val="334D7BFF"/>
    <w:rsid w:val="339D7A4A"/>
    <w:rsid w:val="33ED36FC"/>
    <w:rsid w:val="33FB2813"/>
    <w:rsid w:val="34305A1F"/>
    <w:rsid w:val="35400535"/>
    <w:rsid w:val="359042D6"/>
    <w:rsid w:val="35B658CC"/>
    <w:rsid w:val="35C17398"/>
    <w:rsid w:val="35D435CA"/>
    <w:rsid w:val="35DA3D33"/>
    <w:rsid w:val="362C19C7"/>
    <w:rsid w:val="36456B91"/>
    <w:rsid w:val="368D2D2F"/>
    <w:rsid w:val="36F855A1"/>
    <w:rsid w:val="36FD5F54"/>
    <w:rsid w:val="3726378B"/>
    <w:rsid w:val="378F0564"/>
    <w:rsid w:val="37ED092D"/>
    <w:rsid w:val="380659FE"/>
    <w:rsid w:val="382E7BAA"/>
    <w:rsid w:val="383E1D2D"/>
    <w:rsid w:val="386062DA"/>
    <w:rsid w:val="3923691C"/>
    <w:rsid w:val="3961690E"/>
    <w:rsid w:val="396C75DE"/>
    <w:rsid w:val="39B26D02"/>
    <w:rsid w:val="39C83083"/>
    <w:rsid w:val="39D13151"/>
    <w:rsid w:val="39D56EE3"/>
    <w:rsid w:val="3A220970"/>
    <w:rsid w:val="3A221276"/>
    <w:rsid w:val="3AA70F6B"/>
    <w:rsid w:val="3AC26D18"/>
    <w:rsid w:val="3AE22A97"/>
    <w:rsid w:val="3B1D2A5D"/>
    <w:rsid w:val="3B8A4FA1"/>
    <w:rsid w:val="3BB02095"/>
    <w:rsid w:val="3BBB7710"/>
    <w:rsid w:val="3C9565EE"/>
    <w:rsid w:val="3CF30383"/>
    <w:rsid w:val="3D232463"/>
    <w:rsid w:val="3D4C7832"/>
    <w:rsid w:val="3DA83FBD"/>
    <w:rsid w:val="3DD724BF"/>
    <w:rsid w:val="3E153EAB"/>
    <w:rsid w:val="3EC51DF1"/>
    <w:rsid w:val="3F195726"/>
    <w:rsid w:val="3F283FB4"/>
    <w:rsid w:val="3F600B31"/>
    <w:rsid w:val="3F7B7FB1"/>
    <w:rsid w:val="3F8032A5"/>
    <w:rsid w:val="3FBF5F0C"/>
    <w:rsid w:val="3FC9243C"/>
    <w:rsid w:val="3FF16B46"/>
    <w:rsid w:val="40474195"/>
    <w:rsid w:val="406D13DF"/>
    <w:rsid w:val="40B661BD"/>
    <w:rsid w:val="40D4468C"/>
    <w:rsid w:val="40E47BC1"/>
    <w:rsid w:val="40E83D09"/>
    <w:rsid w:val="410B403D"/>
    <w:rsid w:val="4136045D"/>
    <w:rsid w:val="419D1B66"/>
    <w:rsid w:val="41B65B40"/>
    <w:rsid w:val="41F340EE"/>
    <w:rsid w:val="4210358F"/>
    <w:rsid w:val="42360F62"/>
    <w:rsid w:val="425C0E27"/>
    <w:rsid w:val="42F13F76"/>
    <w:rsid w:val="42F8239B"/>
    <w:rsid w:val="435628C6"/>
    <w:rsid w:val="43697D52"/>
    <w:rsid w:val="43876DF5"/>
    <w:rsid w:val="43B77D4B"/>
    <w:rsid w:val="43DE01E6"/>
    <w:rsid w:val="43E74CCC"/>
    <w:rsid w:val="4403019F"/>
    <w:rsid w:val="44086676"/>
    <w:rsid w:val="4443114E"/>
    <w:rsid w:val="447C1949"/>
    <w:rsid w:val="44D1307A"/>
    <w:rsid w:val="44D76718"/>
    <w:rsid w:val="44DA5293"/>
    <w:rsid w:val="4518058A"/>
    <w:rsid w:val="45195F57"/>
    <w:rsid w:val="45475A39"/>
    <w:rsid w:val="45E023B9"/>
    <w:rsid w:val="463C2DDD"/>
    <w:rsid w:val="466F4BC3"/>
    <w:rsid w:val="46750F02"/>
    <w:rsid w:val="46833561"/>
    <w:rsid w:val="46BF6256"/>
    <w:rsid w:val="46D13594"/>
    <w:rsid w:val="46F56874"/>
    <w:rsid w:val="46F739FC"/>
    <w:rsid w:val="470B3288"/>
    <w:rsid w:val="47190005"/>
    <w:rsid w:val="47586E1B"/>
    <w:rsid w:val="476D231D"/>
    <w:rsid w:val="477C1B6D"/>
    <w:rsid w:val="47CF6725"/>
    <w:rsid w:val="47DA6D1A"/>
    <w:rsid w:val="48285EAE"/>
    <w:rsid w:val="48420F56"/>
    <w:rsid w:val="48770272"/>
    <w:rsid w:val="49257009"/>
    <w:rsid w:val="49317090"/>
    <w:rsid w:val="495E20C6"/>
    <w:rsid w:val="49AE7EA1"/>
    <w:rsid w:val="49CC535B"/>
    <w:rsid w:val="49CF425D"/>
    <w:rsid w:val="49EB6A43"/>
    <w:rsid w:val="4AA72386"/>
    <w:rsid w:val="4B0D269B"/>
    <w:rsid w:val="4B5949D7"/>
    <w:rsid w:val="4B895955"/>
    <w:rsid w:val="4BB611BB"/>
    <w:rsid w:val="4C54069E"/>
    <w:rsid w:val="4C5D0E60"/>
    <w:rsid w:val="4CCC29FD"/>
    <w:rsid w:val="4CDA22AD"/>
    <w:rsid w:val="4D242781"/>
    <w:rsid w:val="4DB706AC"/>
    <w:rsid w:val="4DF15891"/>
    <w:rsid w:val="4E315761"/>
    <w:rsid w:val="4F34061D"/>
    <w:rsid w:val="4F483AC7"/>
    <w:rsid w:val="4F653103"/>
    <w:rsid w:val="4FDD0E3F"/>
    <w:rsid w:val="4FF5469D"/>
    <w:rsid w:val="50267D84"/>
    <w:rsid w:val="50811C6A"/>
    <w:rsid w:val="509C7DF2"/>
    <w:rsid w:val="50E7747C"/>
    <w:rsid w:val="50FC45A4"/>
    <w:rsid w:val="5123516B"/>
    <w:rsid w:val="51383C8B"/>
    <w:rsid w:val="51827CBE"/>
    <w:rsid w:val="51CA1F67"/>
    <w:rsid w:val="52086920"/>
    <w:rsid w:val="523C17C9"/>
    <w:rsid w:val="529F65D0"/>
    <w:rsid w:val="52E54369"/>
    <w:rsid w:val="531C1AA2"/>
    <w:rsid w:val="534806C6"/>
    <w:rsid w:val="53654AB4"/>
    <w:rsid w:val="53C82F60"/>
    <w:rsid w:val="53F53CC5"/>
    <w:rsid w:val="54805002"/>
    <w:rsid w:val="548271BA"/>
    <w:rsid w:val="54A003D2"/>
    <w:rsid w:val="54AE620C"/>
    <w:rsid w:val="54D04FEC"/>
    <w:rsid w:val="54E67CFA"/>
    <w:rsid w:val="5593649C"/>
    <w:rsid w:val="55C02B98"/>
    <w:rsid w:val="55C46E97"/>
    <w:rsid w:val="55D73191"/>
    <w:rsid w:val="5616757F"/>
    <w:rsid w:val="56591EB7"/>
    <w:rsid w:val="5661695A"/>
    <w:rsid w:val="568D6C36"/>
    <w:rsid w:val="56A62E79"/>
    <w:rsid w:val="57B85375"/>
    <w:rsid w:val="581F60FD"/>
    <w:rsid w:val="5839529B"/>
    <w:rsid w:val="58B072A8"/>
    <w:rsid w:val="58B913B7"/>
    <w:rsid w:val="58D06118"/>
    <w:rsid w:val="58E608C2"/>
    <w:rsid w:val="58E749B6"/>
    <w:rsid w:val="5901286E"/>
    <w:rsid w:val="59033327"/>
    <w:rsid w:val="59051CC7"/>
    <w:rsid w:val="593878C8"/>
    <w:rsid w:val="5962769A"/>
    <w:rsid w:val="59A17A1D"/>
    <w:rsid w:val="59DA58D4"/>
    <w:rsid w:val="5AAF203C"/>
    <w:rsid w:val="5ADF551C"/>
    <w:rsid w:val="5B163E92"/>
    <w:rsid w:val="5B640F8A"/>
    <w:rsid w:val="5B9531F6"/>
    <w:rsid w:val="5B9A5FE9"/>
    <w:rsid w:val="5BA00BCA"/>
    <w:rsid w:val="5BE66D10"/>
    <w:rsid w:val="5C0F59C2"/>
    <w:rsid w:val="5C39177C"/>
    <w:rsid w:val="5C8C3047"/>
    <w:rsid w:val="5CA16BEB"/>
    <w:rsid w:val="5CF2749D"/>
    <w:rsid w:val="5D1E0A50"/>
    <w:rsid w:val="5D831E2A"/>
    <w:rsid w:val="5D951F3F"/>
    <w:rsid w:val="5DE8153B"/>
    <w:rsid w:val="5DEE6174"/>
    <w:rsid w:val="5E0B094E"/>
    <w:rsid w:val="5E607588"/>
    <w:rsid w:val="5E795759"/>
    <w:rsid w:val="5E9C5445"/>
    <w:rsid w:val="603B52C7"/>
    <w:rsid w:val="606A6CA3"/>
    <w:rsid w:val="607035FD"/>
    <w:rsid w:val="6087017B"/>
    <w:rsid w:val="61A04D39"/>
    <w:rsid w:val="61CC2A59"/>
    <w:rsid w:val="61E1181F"/>
    <w:rsid w:val="61E93C02"/>
    <w:rsid w:val="622B27C5"/>
    <w:rsid w:val="62D435EA"/>
    <w:rsid w:val="63471893"/>
    <w:rsid w:val="63637DE0"/>
    <w:rsid w:val="6374052A"/>
    <w:rsid w:val="6411514B"/>
    <w:rsid w:val="644A5482"/>
    <w:rsid w:val="647626C7"/>
    <w:rsid w:val="649933B5"/>
    <w:rsid w:val="651D22F8"/>
    <w:rsid w:val="65235CB5"/>
    <w:rsid w:val="6559291C"/>
    <w:rsid w:val="658E29D9"/>
    <w:rsid w:val="658E6650"/>
    <w:rsid w:val="65E4750A"/>
    <w:rsid w:val="65E97622"/>
    <w:rsid w:val="663D6203"/>
    <w:rsid w:val="66A3222A"/>
    <w:rsid w:val="66BE1FC8"/>
    <w:rsid w:val="66D37A56"/>
    <w:rsid w:val="66EF60E9"/>
    <w:rsid w:val="67473F69"/>
    <w:rsid w:val="67494EF2"/>
    <w:rsid w:val="67771C68"/>
    <w:rsid w:val="67B53703"/>
    <w:rsid w:val="67B73F07"/>
    <w:rsid w:val="681109CC"/>
    <w:rsid w:val="68374BA8"/>
    <w:rsid w:val="68D05D52"/>
    <w:rsid w:val="68EB207B"/>
    <w:rsid w:val="68F92739"/>
    <w:rsid w:val="68FE4CBF"/>
    <w:rsid w:val="691B3B7B"/>
    <w:rsid w:val="69480362"/>
    <w:rsid w:val="69534000"/>
    <w:rsid w:val="699379B9"/>
    <w:rsid w:val="69953DDF"/>
    <w:rsid w:val="69C93466"/>
    <w:rsid w:val="6A071CCA"/>
    <w:rsid w:val="6A4C037F"/>
    <w:rsid w:val="6A7A5FC2"/>
    <w:rsid w:val="6AC50CDA"/>
    <w:rsid w:val="6AC802A6"/>
    <w:rsid w:val="6AE8154E"/>
    <w:rsid w:val="6B055979"/>
    <w:rsid w:val="6B415AB3"/>
    <w:rsid w:val="6C2C6AAA"/>
    <w:rsid w:val="6C353411"/>
    <w:rsid w:val="6C613D49"/>
    <w:rsid w:val="6CEC377B"/>
    <w:rsid w:val="6D323793"/>
    <w:rsid w:val="6D870B4A"/>
    <w:rsid w:val="6E5134F9"/>
    <w:rsid w:val="6E5313A2"/>
    <w:rsid w:val="6E543A98"/>
    <w:rsid w:val="6E5C13D2"/>
    <w:rsid w:val="6E9036CA"/>
    <w:rsid w:val="6EA9118F"/>
    <w:rsid w:val="6EC40321"/>
    <w:rsid w:val="6EDE71C8"/>
    <w:rsid w:val="6F9E782C"/>
    <w:rsid w:val="6FE36A89"/>
    <w:rsid w:val="70055E7D"/>
    <w:rsid w:val="7008536E"/>
    <w:rsid w:val="7048152C"/>
    <w:rsid w:val="70971804"/>
    <w:rsid w:val="70A7379E"/>
    <w:rsid w:val="70BD03DB"/>
    <w:rsid w:val="710F3F7F"/>
    <w:rsid w:val="71C92461"/>
    <w:rsid w:val="71EF05BD"/>
    <w:rsid w:val="72482207"/>
    <w:rsid w:val="72734692"/>
    <w:rsid w:val="72B57F86"/>
    <w:rsid w:val="72EA4467"/>
    <w:rsid w:val="732F4D9F"/>
    <w:rsid w:val="737C40E4"/>
    <w:rsid w:val="73C935A2"/>
    <w:rsid w:val="73ED1A35"/>
    <w:rsid w:val="74007810"/>
    <w:rsid w:val="74D07B91"/>
    <w:rsid w:val="74DF28C1"/>
    <w:rsid w:val="75015401"/>
    <w:rsid w:val="75081213"/>
    <w:rsid w:val="750C7EC6"/>
    <w:rsid w:val="75165C45"/>
    <w:rsid w:val="75385186"/>
    <w:rsid w:val="753E2A33"/>
    <w:rsid w:val="75531FB6"/>
    <w:rsid w:val="756714FA"/>
    <w:rsid w:val="75B304C9"/>
    <w:rsid w:val="75CF51BB"/>
    <w:rsid w:val="75EB0403"/>
    <w:rsid w:val="760427EA"/>
    <w:rsid w:val="76186231"/>
    <w:rsid w:val="76522C3A"/>
    <w:rsid w:val="76A15352"/>
    <w:rsid w:val="76CE0FD5"/>
    <w:rsid w:val="76E37194"/>
    <w:rsid w:val="76E47A94"/>
    <w:rsid w:val="777E7E24"/>
    <w:rsid w:val="77E14CDC"/>
    <w:rsid w:val="77EB1B0B"/>
    <w:rsid w:val="78C16C9F"/>
    <w:rsid w:val="78CA0728"/>
    <w:rsid w:val="79140803"/>
    <w:rsid w:val="79574B62"/>
    <w:rsid w:val="796A0D8C"/>
    <w:rsid w:val="797B3124"/>
    <w:rsid w:val="79DD5AA8"/>
    <w:rsid w:val="79E30CA4"/>
    <w:rsid w:val="7A1F4129"/>
    <w:rsid w:val="7B6F0A1C"/>
    <w:rsid w:val="7B830800"/>
    <w:rsid w:val="7B9B2DBB"/>
    <w:rsid w:val="7BD36DF9"/>
    <w:rsid w:val="7C0B2CA3"/>
    <w:rsid w:val="7C402C44"/>
    <w:rsid w:val="7C5A21F4"/>
    <w:rsid w:val="7C8125A8"/>
    <w:rsid w:val="7CE93CDD"/>
    <w:rsid w:val="7CFE2D57"/>
    <w:rsid w:val="7D3041A2"/>
    <w:rsid w:val="7D754DD7"/>
    <w:rsid w:val="7DDC05D7"/>
    <w:rsid w:val="7E3340DE"/>
    <w:rsid w:val="7E4C6959"/>
    <w:rsid w:val="7E6B7641"/>
    <w:rsid w:val="7E9241BA"/>
    <w:rsid w:val="7EA91D8E"/>
    <w:rsid w:val="7EB43EE2"/>
    <w:rsid w:val="7ECE6922"/>
    <w:rsid w:val="7EE5327B"/>
    <w:rsid w:val="7F0C3651"/>
    <w:rsid w:val="7F7D2F74"/>
    <w:rsid w:val="7FE444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8D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Body Text First Indent 2"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qFormat/>
    <w:pPr>
      <w:tabs>
        <w:tab w:val="center" w:pos="4153"/>
        <w:tab w:val="right" w:pos="8306"/>
      </w:tabs>
      <w:snapToGrid w:val="0"/>
      <w:jc w:val="left"/>
    </w:pPr>
    <w:rPr>
      <w:sz w:val="18"/>
    </w:rPr>
  </w:style>
  <w:style w:type="paragraph" w:styleId="a4">
    <w:name w:val="annotation text"/>
    <w:basedOn w:val="a"/>
    <w:link w:val="Char"/>
    <w:qFormat/>
    <w:pPr>
      <w:jc w:val="left"/>
    </w:pPr>
  </w:style>
  <w:style w:type="paragraph" w:styleId="a5">
    <w:name w:val="Body Text"/>
    <w:basedOn w:val="a"/>
    <w:uiPriority w:val="1"/>
    <w:qFormat/>
    <w:pPr>
      <w:ind w:left="180"/>
    </w:pPr>
    <w:rPr>
      <w:rFonts w:ascii="方正仿宋_GBK" w:eastAsia="方正仿宋_GBK" w:hAnsi="方正仿宋_GBK" w:cs="方正仿宋_GBK"/>
      <w:sz w:val="29"/>
      <w:szCs w:val="29"/>
      <w:lang w:val="zh-CN" w:bidi="zh-CN"/>
    </w:rPr>
  </w:style>
  <w:style w:type="paragraph" w:styleId="a6">
    <w:name w:val="Body Text Indent"/>
    <w:basedOn w:val="a"/>
    <w:link w:val="Char0"/>
    <w:qFormat/>
    <w:pPr>
      <w:ind w:firstLineChars="200" w:firstLine="640"/>
    </w:pPr>
    <w:rPr>
      <w:rFonts w:ascii="黑体" w:eastAsia="黑体" w:hAnsi="仿宋_GB2312"/>
      <w:sz w:val="32"/>
      <w:szCs w:val="32"/>
    </w:rPr>
  </w:style>
  <w:style w:type="paragraph" w:styleId="3">
    <w:name w:val="toc 3"/>
    <w:basedOn w:val="a"/>
    <w:next w:val="a"/>
    <w:qFormat/>
    <w:pPr>
      <w:ind w:leftChars="400" w:left="840"/>
    </w:pPr>
  </w:style>
  <w:style w:type="paragraph" w:styleId="a7">
    <w:name w:val="Balloon Text"/>
    <w:basedOn w:val="a"/>
    <w:link w:val="Char1"/>
    <w:qFormat/>
    <w:rPr>
      <w:sz w:val="18"/>
      <w:szCs w:val="18"/>
    </w:rPr>
  </w:style>
  <w:style w:type="paragraph" w:styleId="a8">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qFormat/>
  </w:style>
  <w:style w:type="paragraph" w:styleId="2">
    <w:name w:val="toc 2"/>
    <w:basedOn w:val="a"/>
    <w:next w:val="a"/>
    <w:link w:val="2Char"/>
    <w:qFormat/>
    <w:pPr>
      <w:ind w:leftChars="200" w:left="420"/>
    </w:p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a">
    <w:name w:val="annotation subject"/>
    <w:basedOn w:val="a4"/>
    <w:next w:val="a4"/>
    <w:link w:val="Char3"/>
    <w:qFormat/>
    <w:rPr>
      <w:b/>
      <w:bCs/>
    </w:rPr>
  </w:style>
  <w:style w:type="paragraph" w:styleId="20">
    <w:name w:val="Body Text First Indent 2"/>
    <w:basedOn w:val="a6"/>
    <w:link w:val="2Char0"/>
    <w:qFormat/>
    <w:pPr>
      <w:spacing w:after="120"/>
      <w:ind w:leftChars="200" w:left="420" w:firstLine="420"/>
    </w:pPr>
    <w:rPr>
      <w:rFonts w:ascii="Calibri" w:eastAsia="宋体" w:hAnsi="Calibri"/>
      <w:sz w:val="21"/>
      <w:szCs w:val="24"/>
    </w:rPr>
  </w:style>
  <w:style w:type="table" w:styleId="a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Emphasis"/>
    <w:basedOn w:val="a1"/>
    <w:uiPriority w:val="20"/>
    <w:qFormat/>
    <w:rPr>
      <w:i/>
      <w:iCs/>
    </w:rPr>
  </w:style>
  <w:style w:type="character" w:styleId="ad">
    <w:name w:val="annotation reference"/>
    <w:basedOn w:val="a1"/>
    <w:qFormat/>
    <w:rPr>
      <w:sz w:val="21"/>
      <w:szCs w:val="21"/>
    </w:rPr>
  </w:style>
  <w:style w:type="paragraph" w:customStyle="1" w:styleId="10">
    <w:name w:val="目录1"/>
    <w:basedOn w:val="1"/>
    <w:qFormat/>
    <w:rPr>
      <w:rFonts w:eastAsia="黑体"/>
      <w:sz w:val="24"/>
    </w:rPr>
  </w:style>
  <w:style w:type="paragraph" w:customStyle="1" w:styleId="21">
    <w:name w:val="样式2"/>
    <w:basedOn w:val="1"/>
    <w:link w:val="2Char1"/>
    <w:qFormat/>
    <w:rPr>
      <w:rFonts w:eastAsia="黑体"/>
      <w:sz w:val="24"/>
    </w:rPr>
  </w:style>
  <w:style w:type="character" w:customStyle="1" w:styleId="Char3">
    <w:name w:val="批注主题 Char"/>
    <w:basedOn w:val="Char"/>
    <w:link w:val="aa"/>
    <w:qFormat/>
    <w:rPr>
      <w:rFonts w:ascii="Calibri" w:eastAsia="宋体" w:hAnsi="Calibri" w:cs="Times New Roman"/>
      <w:kern w:val="2"/>
      <w:sz w:val="21"/>
      <w:szCs w:val="24"/>
    </w:rPr>
  </w:style>
  <w:style w:type="character" w:customStyle="1" w:styleId="Char">
    <w:name w:val="批注文字 Char"/>
    <w:basedOn w:val="a1"/>
    <w:link w:val="a4"/>
    <w:qFormat/>
    <w:rPr>
      <w:rFonts w:ascii="Calibri" w:eastAsia="宋体" w:hAnsi="Calibri" w:cs="Times New Roman"/>
      <w:kern w:val="2"/>
      <w:sz w:val="21"/>
      <w:szCs w:val="24"/>
    </w:rPr>
  </w:style>
  <w:style w:type="character" w:customStyle="1" w:styleId="Char1">
    <w:name w:val="批注框文本 Char"/>
    <w:basedOn w:val="a1"/>
    <w:link w:val="a7"/>
    <w:qFormat/>
    <w:rPr>
      <w:rFonts w:ascii="Calibri" w:eastAsia="宋体" w:hAnsi="Calibri" w:cs="Times New Roman"/>
      <w:kern w:val="2"/>
      <w:sz w:val="18"/>
      <w:szCs w:val="18"/>
    </w:rPr>
  </w:style>
  <w:style w:type="character" w:customStyle="1" w:styleId="Char2">
    <w:name w:val="页眉 Char"/>
    <w:basedOn w:val="a1"/>
    <w:link w:val="a8"/>
    <w:qFormat/>
    <w:rPr>
      <w:rFonts w:ascii="Calibri" w:eastAsia="宋体" w:hAnsi="Calibri" w:cs="Times New Roman"/>
      <w:kern w:val="2"/>
      <w:sz w:val="18"/>
      <w:szCs w:val="18"/>
    </w:rPr>
  </w:style>
  <w:style w:type="character" w:customStyle="1" w:styleId="Char0">
    <w:name w:val="正文文本缩进 Char"/>
    <w:basedOn w:val="a1"/>
    <w:link w:val="a6"/>
    <w:qFormat/>
    <w:rPr>
      <w:rFonts w:ascii="黑体" w:eastAsia="黑体" w:hAnsi="仿宋_GB2312" w:cs="Times New Roman"/>
      <w:kern w:val="2"/>
      <w:sz w:val="32"/>
      <w:szCs w:val="32"/>
    </w:rPr>
  </w:style>
  <w:style w:type="character" w:customStyle="1" w:styleId="font71">
    <w:name w:val="font71"/>
    <w:basedOn w:val="a1"/>
    <w:qFormat/>
    <w:rPr>
      <w:rFonts w:ascii="仿宋_GB2312" w:eastAsia="仿宋_GB2312" w:cs="仿宋_GB2312" w:hint="eastAsia"/>
      <w:color w:val="000000"/>
      <w:sz w:val="20"/>
      <w:szCs w:val="20"/>
      <w:u w:val="none"/>
    </w:rPr>
  </w:style>
  <w:style w:type="character" w:customStyle="1" w:styleId="2Char0">
    <w:name w:val="正文首行缩进 2 Char"/>
    <w:basedOn w:val="Char0"/>
    <w:link w:val="20"/>
    <w:qFormat/>
    <w:rPr>
      <w:rFonts w:ascii="黑体" w:eastAsia="黑体" w:hAnsi="仿宋_GB2312" w:cs="Times New Roman"/>
      <w:kern w:val="2"/>
      <w:sz w:val="32"/>
      <w:szCs w:val="32"/>
    </w:rPr>
  </w:style>
  <w:style w:type="character" w:customStyle="1" w:styleId="font41">
    <w:name w:val="font41"/>
    <w:basedOn w:val="a1"/>
    <w:qFormat/>
    <w:rPr>
      <w:rFonts w:ascii="仿宋_GB2312" w:eastAsia="仿宋_GB2312" w:cs="仿宋_GB2312" w:hint="eastAsia"/>
      <w:color w:val="FF0000"/>
      <w:sz w:val="20"/>
      <w:szCs w:val="20"/>
      <w:u w:val="none"/>
    </w:rPr>
  </w:style>
  <w:style w:type="character" w:customStyle="1" w:styleId="font51">
    <w:name w:val="font51"/>
    <w:basedOn w:val="a1"/>
    <w:qFormat/>
    <w:rPr>
      <w:rFonts w:ascii="仿宋_GB2312" w:eastAsia="仿宋_GB2312" w:cs="仿宋_GB2312" w:hint="eastAsia"/>
      <w:color w:val="FF0000"/>
      <w:sz w:val="20"/>
      <w:szCs w:val="20"/>
      <w:u w:val="none"/>
    </w:rPr>
  </w:style>
  <w:style w:type="paragraph" w:styleId="ae">
    <w:name w:val="List Paragraph"/>
    <w:basedOn w:val="a"/>
    <w:uiPriority w:val="99"/>
    <w:qFormat/>
    <w:pPr>
      <w:ind w:firstLineChars="200" w:firstLine="420"/>
    </w:pPr>
  </w:style>
  <w:style w:type="paragraph" w:customStyle="1" w:styleId="CharCharCharChar">
    <w:name w:val="Char Char Char Char"/>
    <w:uiPriority w:val="99"/>
    <w:semiHidden/>
    <w:qFormat/>
    <w:pPr>
      <w:snapToGrid w:val="0"/>
      <w:spacing w:line="360" w:lineRule="auto"/>
      <w:ind w:firstLineChars="200" w:firstLine="200"/>
    </w:pPr>
    <w:rPr>
      <w:rFonts w:eastAsia="仿宋_GB2312"/>
      <w:kern w:val="2"/>
      <w:sz w:val="24"/>
      <w:szCs w:val="24"/>
    </w:rPr>
  </w:style>
  <w:style w:type="paragraph" w:customStyle="1" w:styleId="WPSOffice1">
    <w:name w:val="WPSOffice手动目录 1"/>
    <w:qFormat/>
    <w:rPr>
      <w:rFonts w:ascii="Calibri" w:hAnsi="Calibri"/>
    </w:rPr>
  </w:style>
  <w:style w:type="paragraph" w:customStyle="1" w:styleId="WPSOffice2">
    <w:name w:val="WPSOffice手动目录 2"/>
    <w:qFormat/>
    <w:pPr>
      <w:ind w:leftChars="200" w:left="200"/>
    </w:pPr>
    <w:rPr>
      <w:rFonts w:ascii="Calibri" w:hAnsi="Calibri"/>
    </w:rPr>
  </w:style>
  <w:style w:type="paragraph" w:customStyle="1" w:styleId="11">
    <w:name w:val="样式1"/>
    <w:basedOn w:val="a"/>
    <w:qFormat/>
    <w:rPr>
      <w:rFonts w:eastAsia="楷体"/>
      <w:sz w:val="32"/>
    </w:rPr>
  </w:style>
  <w:style w:type="character" w:customStyle="1" w:styleId="2Char">
    <w:name w:val="目录 2 Char"/>
    <w:link w:val="2"/>
    <w:qFormat/>
  </w:style>
  <w:style w:type="character" w:customStyle="1" w:styleId="1Char">
    <w:name w:val="目录 1 Char"/>
    <w:link w:val="1"/>
    <w:qFormat/>
  </w:style>
  <w:style w:type="character" w:customStyle="1" w:styleId="2Char1">
    <w:name w:val="样式2 Char"/>
    <w:link w:val="21"/>
    <w:qFormat/>
    <w:rPr>
      <w:rFonts w:eastAsia="黑体"/>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Body Text First Indent 2"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qFormat/>
    <w:pPr>
      <w:tabs>
        <w:tab w:val="center" w:pos="4153"/>
        <w:tab w:val="right" w:pos="8306"/>
      </w:tabs>
      <w:snapToGrid w:val="0"/>
      <w:jc w:val="left"/>
    </w:pPr>
    <w:rPr>
      <w:sz w:val="18"/>
    </w:rPr>
  </w:style>
  <w:style w:type="paragraph" w:styleId="a4">
    <w:name w:val="annotation text"/>
    <w:basedOn w:val="a"/>
    <w:link w:val="Char"/>
    <w:qFormat/>
    <w:pPr>
      <w:jc w:val="left"/>
    </w:pPr>
  </w:style>
  <w:style w:type="paragraph" w:styleId="a5">
    <w:name w:val="Body Text"/>
    <w:basedOn w:val="a"/>
    <w:uiPriority w:val="1"/>
    <w:qFormat/>
    <w:pPr>
      <w:ind w:left="180"/>
    </w:pPr>
    <w:rPr>
      <w:rFonts w:ascii="方正仿宋_GBK" w:eastAsia="方正仿宋_GBK" w:hAnsi="方正仿宋_GBK" w:cs="方正仿宋_GBK"/>
      <w:sz w:val="29"/>
      <w:szCs w:val="29"/>
      <w:lang w:val="zh-CN" w:bidi="zh-CN"/>
    </w:rPr>
  </w:style>
  <w:style w:type="paragraph" w:styleId="a6">
    <w:name w:val="Body Text Indent"/>
    <w:basedOn w:val="a"/>
    <w:link w:val="Char0"/>
    <w:qFormat/>
    <w:pPr>
      <w:ind w:firstLineChars="200" w:firstLine="640"/>
    </w:pPr>
    <w:rPr>
      <w:rFonts w:ascii="黑体" w:eastAsia="黑体" w:hAnsi="仿宋_GB2312"/>
      <w:sz w:val="32"/>
      <w:szCs w:val="32"/>
    </w:rPr>
  </w:style>
  <w:style w:type="paragraph" w:styleId="3">
    <w:name w:val="toc 3"/>
    <w:basedOn w:val="a"/>
    <w:next w:val="a"/>
    <w:qFormat/>
    <w:pPr>
      <w:ind w:leftChars="400" w:left="840"/>
    </w:pPr>
  </w:style>
  <w:style w:type="paragraph" w:styleId="a7">
    <w:name w:val="Balloon Text"/>
    <w:basedOn w:val="a"/>
    <w:link w:val="Char1"/>
    <w:qFormat/>
    <w:rPr>
      <w:sz w:val="18"/>
      <w:szCs w:val="18"/>
    </w:rPr>
  </w:style>
  <w:style w:type="paragraph" w:styleId="a8">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qFormat/>
  </w:style>
  <w:style w:type="paragraph" w:styleId="2">
    <w:name w:val="toc 2"/>
    <w:basedOn w:val="a"/>
    <w:next w:val="a"/>
    <w:link w:val="2Char"/>
    <w:qFormat/>
    <w:pPr>
      <w:ind w:leftChars="200" w:left="420"/>
    </w:p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a">
    <w:name w:val="annotation subject"/>
    <w:basedOn w:val="a4"/>
    <w:next w:val="a4"/>
    <w:link w:val="Char3"/>
    <w:qFormat/>
    <w:rPr>
      <w:b/>
      <w:bCs/>
    </w:rPr>
  </w:style>
  <w:style w:type="paragraph" w:styleId="20">
    <w:name w:val="Body Text First Indent 2"/>
    <w:basedOn w:val="a6"/>
    <w:link w:val="2Char0"/>
    <w:qFormat/>
    <w:pPr>
      <w:spacing w:after="120"/>
      <w:ind w:leftChars="200" w:left="420" w:firstLine="420"/>
    </w:pPr>
    <w:rPr>
      <w:rFonts w:ascii="Calibri" w:eastAsia="宋体" w:hAnsi="Calibri"/>
      <w:sz w:val="21"/>
      <w:szCs w:val="24"/>
    </w:rPr>
  </w:style>
  <w:style w:type="table" w:styleId="a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Emphasis"/>
    <w:basedOn w:val="a1"/>
    <w:uiPriority w:val="20"/>
    <w:qFormat/>
    <w:rPr>
      <w:i/>
      <w:iCs/>
    </w:rPr>
  </w:style>
  <w:style w:type="character" w:styleId="ad">
    <w:name w:val="annotation reference"/>
    <w:basedOn w:val="a1"/>
    <w:qFormat/>
    <w:rPr>
      <w:sz w:val="21"/>
      <w:szCs w:val="21"/>
    </w:rPr>
  </w:style>
  <w:style w:type="paragraph" w:customStyle="1" w:styleId="10">
    <w:name w:val="目录1"/>
    <w:basedOn w:val="1"/>
    <w:qFormat/>
    <w:rPr>
      <w:rFonts w:eastAsia="黑体"/>
      <w:sz w:val="24"/>
    </w:rPr>
  </w:style>
  <w:style w:type="paragraph" w:customStyle="1" w:styleId="21">
    <w:name w:val="样式2"/>
    <w:basedOn w:val="1"/>
    <w:link w:val="2Char1"/>
    <w:qFormat/>
    <w:rPr>
      <w:rFonts w:eastAsia="黑体"/>
      <w:sz w:val="24"/>
    </w:rPr>
  </w:style>
  <w:style w:type="character" w:customStyle="1" w:styleId="Char3">
    <w:name w:val="批注主题 Char"/>
    <w:basedOn w:val="Char"/>
    <w:link w:val="aa"/>
    <w:qFormat/>
    <w:rPr>
      <w:rFonts w:ascii="Calibri" w:eastAsia="宋体" w:hAnsi="Calibri" w:cs="Times New Roman"/>
      <w:kern w:val="2"/>
      <w:sz w:val="21"/>
      <w:szCs w:val="24"/>
    </w:rPr>
  </w:style>
  <w:style w:type="character" w:customStyle="1" w:styleId="Char">
    <w:name w:val="批注文字 Char"/>
    <w:basedOn w:val="a1"/>
    <w:link w:val="a4"/>
    <w:qFormat/>
    <w:rPr>
      <w:rFonts w:ascii="Calibri" w:eastAsia="宋体" w:hAnsi="Calibri" w:cs="Times New Roman"/>
      <w:kern w:val="2"/>
      <w:sz w:val="21"/>
      <w:szCs w:val="24"/>
    </w:rPr>
  </w:style>
  <w:style w:type="character" w:customStyle="1" w:styleId="Char1">
    <w:name w:val="批注框文本 Char"/>
    <w:basedOn w:val="a1"/>
    <w:link w:val="a7"/>
    <w:qFormat/>
    <w:rPr>
      <w:rFonts w:ascii="Calibri" w:eastAsia="宋体" w:hAnsi="Calibri" w:cs="Times New Roman"/>
      <w:kern w:val="2"/>
      <w:sz w:val="18"/>
      <w:szCs w:val="18"/>
    </w:rPr>
  </w:style>
  <w:style w:type="character" w:customStyle="1" w:styleId="Char2">
    <w:name w:val="页眉 Char"/>
    <w:basedOn w:val="a1"/>
    <w:link w:val="a8"/>
    <w:qFormat/>
    <w:rPr>
      <w:rFonts w:ascii="Calibri" w:eastAsia="宋体" w:hAnsi="Calibri" w:cs="Times New Roman"/>
      <w:kern w:val="2"/>
      <w:sz w:val="18"/>
      <w:szCs w:val="18"/>
    </w:rPr>
  </w:style>
  <w:style w:type="character" w:customStyle="1" w:styleId="Char0">
    <w:name w:val="正文文本缩进 Char"/>
    <w:basedOn w:val="a1"/>
    <w:link w:val="a6"/>
    <w:qFormat/>
    <w:rPr>
      <w:rFonts w:ascii="黑体" w:eastAsia="黑体" w:hAnsi="仿宋_GB2312" w:cs="Times New Roman"/>
      <w:kern w:val="2"/>
      <w:sz w:val="32"/>
      <w:szCs w:val="32"/>
    </w:rPr>
  </w:style>
  <w:style w:type="character" w:customStyle="1" w:styleId="font71">
    <w:name w:val="font71"/>
    <w:basedOn w:val="a1"/>
    <w:qFormat/>
    <w:rPr>
      <w:rFonts w:ascii="仿宋_GB2312" w:eastAsia="仿宋_GB2312" w:cs="仿宋_GB2312" w:hint="eastAsia"/>
      <w:color w:val="000000"/>
      <w:sz w:val="20"/>
      <w:szCs w:val="20"/>
      <w:u w:val="none"/>
    </w:rPr>
  </w:style>
  <w:style w:type="character" w:customStyle="1" w:styleId="2Char0">
    <w:name w:val="正文首行缩进 2 Char"/>
    <w:basedOn w:val="Char0"/>
    <w:link w:val="20"/>
    <w:qFormat/>
    <w:rPr>
      <w:rFonts w:ascii="黑体" w:eastAsia="黑体" w:hAnsi="仿宋_GB2312" w:cs="Times New Roman"/>
      <w:kern w:val="2"/>
      <w:sz w:val="32"/>
      <w:szCs w:val="32"/>
    </w:rPr>
  </w:style>
  <w:style w:type="character" w:customStyle="1" w:styleId="font41">
    <w:name w:val="font41"/>
    <w:basedOn w:val="a1"/>
    <w:qFormat/>
    <w:rPr>
      <w:rFonts w:ascii="仿宋_GB2312" w:eastAsia="仿宋_GB2312" w:cs="仿宋_GB2312" w:hint="eastAsia"/>
      <w:color w:val="FF0000"/>
      <w:sz w:val="20"/>
      <w:szCs w:val="20"/>
      <w:u w:val="none"/>
    </w:rPr>
  </w:style>
  <w:style w:type="character" w:customStyle="1" w:styleId="font51">
    <w:name w:val="font51"/>
    <w:basedOn w:val="a1"/>
    <w:qFormat/>
    <w:rPr>
      <w:rFonts w:ascii="仿宋_GB2312" w:eastAsia="仿宋_GB2312" w:cs="仿宋_GB2312" w:hint="eastAsia"/>
      <w:color w:val="FF0000"/>
      <w:sz w:val="20"/>
      <w:szCs w:val="20"/>
      <w:u w:val="none"/>
    </w:rPr>
  </w:style>
  <w:style w:type="paragraph" w:styleId="ae">
    <w:name w:val="List Paragraph"/>
    <w:basedOn w:val="a"/>
    <w:uiPriority w:val="99"/>
    <w:qFormat/>
    <w:pPr>
      <w:ind w:firstLineChars="200" w:firstLine="420"/>
    </w:pPr>
  </w:style>
  <w:style w:type="paragraph" w:customStyle="1" w:styleId="CharCharCharChar">
    <w:name w:val="Char Char Char Char"/>
    <w:uiPriority w:val="99"/>
    <w:semiHidden/>
    <w:qFormat/>
    <w:pPr>
      <w:snapToGrid w:val="0"/>
      <w:spacing w:line="360" w:lineRule="auto"/>
      <w:ind w:firstLineChars="200" w:firstLine="200"/>
    </w:pPr>
    <w:rPr>
      <w:rFonts w:eastAsia="仿宋_GB2312"/>
      <w:kern w:val="2"/>
      <w:sz w:val="24"/>
      <w:szCs w:val="24"/>
    </w:rPr>
  </w:style>
  <w:style w:type="paragraph" w:customStyle="1" w:styleId="WPSOffice1">
    <w:name w:val="WPSOffice手动目录 1"/>
    <w:qFormat/>
    <w:rPr>
      <w:rFonts w:ascii="Calibri" w:hAnsi="Calibri"/>
    </w:rPr>
  </w:style>
  <w:style w:type="paragraph" w:customStyle="1" w:styleId="WPSOffice2">
    <w:name w:val="WPSOffice手动目录 2"/>
    <w:qFormat/>
    <w:pPr>
      <w:ind w:leftChars="200" w:left="200"/>
    </w:pPr>
    <w:rPr>
      <w:rFonts w:ascii="Calibri" w:hAnsi="Calibri"/>
    </w:rPr>
  </w:style>
  <w:style w:type="paragraph" w:customStyle="1" w:styleId="11">
    <w:name w:val="样式1"/>
    <w:basedOn w:val="a"/>
    <w:qFormat/>
    <w:rPr>
      <w:rFonts w:eastAsia="楷体"/>
      <w:sz w:val="32"/>
    </w:rPr>
  </w:style>
  <w:style w:type="character" w:customStyle="1" w:styleId="2Char">
    <w:name w:val="目录 2 Char"/>
    <w:link w:val="2"/>
    <w:qFormat/>
  </w:style>
  <w:style w:type="character" w:customStyle="1" w:styleId="1Char">
    <w:name w:val="目录 1 Char"/>
    <w:link w:val="1"/>
    <w:qFormat/>
  </w:style>
  <w:style w:type="character" w:customStyle="1" w:styleId="2Char1">
    <w:name w:val="样式2 Char"/>
    <w:link w:val="21"/>
    <w:qFormat/>
    <w:rPr>
      <w:rFonts w:eastAsia="黑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23</Pages>
  <Words>2060</Words>
  <Characters>11747</Characters>
  <Application>Microsoft Office Word</Application>
  <DocSecurity>0</DocSecurity>
  <Lines>97</Lines>
  <Paragraphs>27</Paragraphs>
  <ScaleCrop>false</ScaleCrop>
  <Company>相城区教育局</Company>
  <LinksUpToDate>false</LinksUpToDate>
  <CharactersWithSpaces>13780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李梁辉</dc:creator>
  <cp:lastModifiedBy>杨明华</cp:lastModifiedBy>
  <cp:revision>12</cp:revision>
  <cp:lastPrinted>2021-01-18T03:14:00Z</cp:lastPrinted>
  <dcterms:created xsi:type="dcterms:W3CDTF">2020-11-18T06:11:00Z</dcterms:created>
  <dcterms:modified xsi:type="dcterms:W3CDTF">2022-01-12T07:11:00Z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KSOSaveFontToCloudKey">
    <vt:lpwstr>248404743_cloud</vt:lpwstr>
  </property>
  <property fmtid="{D5CDD505-2E9C-101B-9397-08002B2CF9AE}" pid="4" name="ICV">
    <vt:lpwstr>B7F94A9891CB44068D91F876C392D6E5</vt:lpwstr>
  </property>
</Properties>
</file>