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76458D">
      <w:pPr>
        <w:spacing w:after="312" w:afterLines="100" w:line="600" w:lineRule="exact"/>
        <w:jc w:val="center"/>
        <w:rPr>
          <w:rFonts w:ascii="Times New Roman" w:hAnsi="Times New Roman" w:eastAsia="方正小标宋简体"/>
          <w:sz w:val="44"/>
          <w:szCs w:val="44"/>
        </w:rPr>
      </w:pPr>
      <w:r>
        <w:rPr>
          <w:rFonts w:hint="eastAsia" w:ascii="Times New Roman" w:hAnsi="Times New Roman" w:eastAsia="方正小标宋简体"/>
          <w:sz w:val="44"/>
          <w:szCs w:val="44"/>
          <w:lang w:val="en-US" w:eastAsia="zh-CN"/>
        </w:rPr>
        <w:t>相城区住建局</w:t>
      </w:r>
      <w:r>
        <w:rPr>
          <w:rFonts w:hint="eastAsia" w:ascii="Times New Roman" w:hAnsi="Times New Roman" w:eastAsia="方正小标宋简体"/>
          <w:sz w:val="44"/>
          <w:szCs w:val="44"/>
        </w:rPr>
        <w:t>行政检查事项清单</w:t>
      </w:r>
    </w:p>
    <w:tbl>
      <w:tblPr>
        <w:tblStyle w:val="9"/>
        <w:tblW w:w="1508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6"/>
        <w:gridCol w:w="1324"/>
        <w:gridCol w:w="794"/>
        <w:gridCol w:w="872"/>
        <w:gridCol w:w="869"/>
        <w:gridCol w:w="4962"/>
        <w:gridCol w:w="992"/>
        <w:gridCol w:w="1139"/>
        <w:gridCol w:w="1491"/>
        <w:gridCol w:w="1481"/>
        <w:gridCol w:w="622"/>
      </w:tblGrid>
      <w:tr w14:paraId="7D4E7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tblHeader/>
          <w:jc w:val="center"/>
        </w:trPr>
        <w:tc>
          <w:tcPr>
            <w:tcW w:w="536" w:type="dxa"/>
            <w:vMerge w:val="restart"/>
            <w:vAlign w:val="center"/>
          </w:tcPr>
          <w:p w14:paraId="1A701C5F">
            <w:pPr>
              <w:spacing w:line="280" w:lineRule="exact"/>
              <w:jc w:val="center"/>
              <w:rPr>
                <w:rFonts w:ascii="Times New Roman" w:hAnsi="Times New Roman" w:eastAsia="仿宋_GB2312"/>
                <w:b/>
                <w:color w:val="auto"/>
                <w:kern w:val="0"/>
                <w:szCs w:val="21"/>
              </w:rPr>
            </w:pPr>
            <w:r>
              <w:rPr>
                <w:rFonts w:hint="eastAsia" w:ascii="Times New Roman" w:hAnsi="Times New Roman" w:eastAsia="仿宋_GB2312"/>
                <w:b/>
                <w:color w:val="auto"/>
                <w:kern w:val="0"/>
                <w:szCs w:val="21"/>
              </w:rPr>
              <w:t>序号</w:t>
            </w:r>
          </w:p>
        </w:tc>
        <w:tc>
          <w:tcPr>
            <w:tcW w:w="1324" w:type="dxa"/>
            <w:vMerge w:val="restart"/>
            <w:vAlign w:val="center"/>
          </w:tcPr>
          <w:p w14:paraId="1E98F8B1">
            <w:pPr>
              <w:spacing w:line="280" w:lineRule="exact"/>
              <w:jc w:val="center"/>
              <w:rPr>
                <w:rFonts w:ascii="Times New Roman" w:hAnsi="Times New Roman" w:eastAsia="仿宋_GB2312"/>
                <w:b/>
                <w:color w:val="auto"/>
                <w:kern w:val="0"/>
                <w:szCs w:val="21"/>
              </w:rPr>
            </w:pPr>
            <w:r>
              <w:rPr>
                <w:rFonts w:hint="eastAsia" w:ascii="Times New Roman" w:hAnsi="Times New Roman" w:eastAsia="仿宋_GB2312"/>
                <w:b/>
                <w:color w:val="auto"/>
                <w:kern w:val="0"/>
                <w:szCs w:val="21"/>
              </w:rPr>
              <w:t>检查事项</w:t>
            </w:r>
          </w:p>
        </w:tc>
        <w:tc>
          <w:tcPr>
            <w:tcW w:w="794" w:type="dxa"/>
            <w:vMerge w:val="restart"/>
            <w:vAlign w:val="center"/>
          </w:tcPr>
          <w:p w14:paraId="56310BCD">
            <w:pPr>
              <w:spacing w:line="280" w:lineRule="exact"/>
              <w:jc w:val="center"/>
              <w:rPr>
                <w:rFonts w:ascii="Times New Roman" w:hAnsi="Times New Roman" w:eastAsia="仿宋_GB2312"/>
                <w:b/>
                <w:color w:val="auto"/>
                <w:kern w:val="0"/>
                <w:szCs w:val="21"/>
              </w:rPr>
            </w:pPr>
            <w:r>
              <w:rPr>
                <w:rFonts w:hint="eastAsia" w:ascii="Times New Roman" w:hAnsi="Times New Roman" w:eastAsia="仿宋_GB2312"/>
                <w:b/>
                <w:color w:val="auto"/>
                <w:kern w:val="0"/>
                <w:szCs w:val="21"/>
              </w:rPr>
              <w:t>检查主体</w:t>
            </w:r>
          </w:p>
        </w:tc>
        <w:tc>
          <w:tcPr>
            <w:tcW w:w="872" w:type="dxa"/>
            <w:vMerge w:val="restart"/>
            <w:vAlign w:val="center"/>
          </w:tcPr>
          <w:p w14:paraId="44AACCEF">
            <w:pPr>
              <w:spacing w:line="280" w:lineRule="exact"/>
              <w:jc w:val="center"/>
              <w:rPr>
                <w:rFonts w:ascii="Times New Roman" w:hAnsi="Times New Roman" w:eastAsia="仿宋_GB2312"/>
                <w:b/>
                <w:color w:val="auto"/>
                <w:kern w:val="0"/>
                <w:szCs w:val="21"/>
              </w:rPr>
            </w:pPr>
            <w:r>
              <w:rPr>
                <w:rFonts w:hint="eastAsia" w:ascii="Times New Roman" w:hAnsi="Times New Roman" w:eastAsia="仿宋_GB2312"/>
                <w:b/>
                <w:color w:val="auto"/>
                <w:kern w:val="0"/>
                <w:szCs w:val="21"/>
              </w:rPr>
              <w:t>检查</w:t>
            </w:r>
          </w:p>
          <w:p w14:paraId="2969E925">
            <w:pPr>
              <w:spacing w:line="280" w:lineRule="exact"/>
              <w:jc w:val="center"/>
              <w:rPr>
                <w:rFonts w:ascii="Times New Roman" w:hAnsi="Times New Roman" w:eastAsia="仿宋_GB2312"/>
                <w:b/>
                <w:color w:val="auto"/>
                <w:kern w:val="0"/>
                <w:szCs w:val="21"/>
              </w:rPr>
            </w:pPr>
            <w:r>
              <w:rPr>
                <w:rFonts w:hint="eastAsia" w:ascii="Times New Roman" w:hAnsi="Times New Roman" w:eastAsia="仿宋_GB2312"/>
                <w:b/>
                <w:color w:val="auto"/>
                <w:kern w:val="0"/>
                <w:szCs w:val="21"/>
              </w:rPr>
              <w:t>机构</w:t>
            </w:r>
          </w:p>
        </w:tc>
        <w:tc>
          <w:tcPr>
            <w:tcW w:w="869" w:type="dxa"/>
            <w:vMerge w:val="restart"/>
            <w:vAlign w:val="center"/>
          </w:tcPr>
          <w:p w14:paraId="131616E0">
            <w:pPr>
              <w:spacing w:line="280" w:lineRule="exact"/>
              <w:jc w:val="center"/>
              <w:rPr>
                <w:rFonts w:ascii="Times New Roman" w:hAnsi="Times New Roman" w:eastAsia="仿宋_GB2312"/>
                <w:b/>
                <w:color w:val="auto"/>
                <w:kern w:val="0"/>
                <w:szCs w:val="21"/>
              </w:rPr>
            </w:pPr>
            <w:r>
              <w:rPr>
                <w:rFonts w:hint="eastAsia" w:ascii="Times New Roman" w:hAnsi="Times New Roman" w:eastAsia="仿宋_GB2312"/>
                <w:b/>
                <w:color w:val="auto"/>
                <w:kern w:val="0"/>
                <w:szCs w:val="21"/>
              </w:rPr>
              <w:t>检查</w:t>
            </w:r>
          </w:p>
          <w:p w14:paraId="67457A57">
            <w:pPr>
              <w:spacing w:line="280" w:lineRule="exact"/>
              <w:jc w:val="center"/>
              <w:rPr>
                <w:rFonts w:ascii="Times New Roman" w:hAnsi="Times New Roman" w:eastAsia="仿宋_GB2312"/>
                <w:b/>
                <w:color w:val="auto"/>
                <w:kern w:val="0"/>
                <w:szCs w:val="21"/>
              </w:rPr>
            </w:pPr>
            <w:r>
              <w:rPr>
                <w:rFonts w:hint="eastAsia" w:ascii="Times New Roman" w:hAnsi="Times New Roman" w:eastAsia="仿宋_GB2312"/>
                <w:b/>
                <w:color w:val="auto"/>
                <w:kern w:val="0"/>
                <w:szCs w:val="21"/>
              </w:rPr>
              <w:t>对象</w:t>
            </w:r>
          </w:p>
        </w:tc>
        <w:tc>
          <w:tcPr>
            <w:tcW w:w="4962" w:type="dxa"/>
            <w:vMerge w:val="restart"/>
            <w:vAlign w:val="center"/>
          </w:tcPr>
          <w:p w14:paraId="15A057BE">
            <w:pPr>
              <w:spacing w:line="280" w:lineRule="exact"/>
              <w:jc w:val="center"/>
              <w:rPr>
                <w:rFonts w:ascii="Times New Roman" w:hAnsi="Times New Roman" w:eastAsia="仿宋_GB2312"/>
                <w:b/>
                <w:color w:val="auto"/>
                <w:kern w:val="0"/>
                <w:szCs w:val="21"/>
              </w:rPr>
            </w:pPr>
            <w:r>
              <w:rPr>
                <w:rFonts w:hint="eastAsia" w:ascii="Times New Roman" w:hAnsi="Times New Roman" w:eastAsia="仿宋_GB2312"/>
                <w:b/>
                <w:color w:val="auto"/>
                <w:kern w:val="0"/>
                <w:szCs w:val="21"/>
              </w:rPr>
              <w:t>检查依据</w:t>
            </w:r>
          </w:p>
        </w:tc>
        <w:tc>
          <w:tcPr>
            <w:tcW w:w="992" w:type="dxa"/>
            <w:vMerge w:val="restart"/>
            <w:vAlign w:val="center"/>
          </w:tcPr>
          <w:p w14:paraId="0EB31FBE">
            <w:pPr>
              <w:spacing w:line="280" w:lineRule="exact"/>
              <w:jc w:val="center"/>
              <w:rPr>
                <w:rFonts w:ascii="Times New Roman" w:hAnsi="Times New Roman" w:eastAsia="仿宋_GB2312"/>
                <w:b/>
                <w:color w:val="auto"/>
                <w:kern w:val="0"/>
                <w:szCs w:val="21"/>
              </w:rPr>
            </w:pPr>
            <w:r>
              <w:rPr>
                <w:rFonts w:hint="eastAsia" w:ascii="Times New Roman" w:hAnsi="Times New Roman" w:eastAsia="仿宋_GB2312"/>
                <w:b/>
                <w:color w:val="auto"/>
                <w:kern w:val="0"/>
                <w:szCs w:val="21"/>
              </w:rPr>
              <w:t>检查</w:t>
            </w:r>
          </w:p>
          <w:p w14:paraId="559FA754">
            <w:pPr>
              <w:spacing w:line="280" w:lineRule="exact"/>
              <w:jc w:val="center"/>
              <w:rPr>
                <w:rFonts w:ascii="Times New Roman" w:hAnsi="Times New Roman" w:eastAsia="仿宋_GB2312"/>
                <w:b/>
                <w:color w:val="auto"/>
                <w:kern w:val="0"/>
                <w:szCs w:val="21"/>
              </w:rPr>
            </w:pPr>
            <w:r>
              <w:rPr>
                <w:rFonts w:hint="eastAsia" w:ascii="Times New Roman" w:hAnsi="Times New Roman" w:eastAsia="仿宋_GB2312"/>
                <w:b/>
                <w:color w:val="auto"/>
                <w:kern w:val="0"/>
                <w:szCs w:val="21"/>
              </w:rPr>
              <w:t>方式</w:t>
            </w:r>
          </w:p>
        </w:tc>
        <w:tc>
          <w:tcPr>
            <w:tcW w:w="1139" w:type="dxa"/>
            <w:vMerge w:val="restart"/>
            <w:vAlign w:val="center"/>
          </w:tcPr>
          <w:p w14:paraId="680F28C5">
            <w:pPr>
              <w:spacing w:line="280" w:lineRule="exact"/>
              <w:jc w:val="center"/>
              <w:rPr>
                <w:rFonts w:ascii="Times New Roman" w:hAnsi="Times New Roman" w:eastAsia="仿宋_GB2312"/>
                <w:b/>
                <w:color w:val="auto"/>
                <w:kern w:val="0"/>
                <w:szCs w:val="21"/>
              </w:rPr>
            </w:pPr>
            <w:r>
              <w:rPr>
                <w:rFonts w:hint="eastAsia" w:ascii="Times New Roman" w:hAnsi="Times New Roman" w:eastAsia="仿宋_GB2312"/>
                <w:b/>
                <w:color w:val="auto"/>
                <w:kern w:val="0"/>
                <w:szCs w:val="21"/>
              </w:rPr>
              <w:t>检查</w:t>
            </w:r>
          </w:p>
          <w:p w14:paraId="2FDDCAB9">
            <w:pPr>
              <w:spacing w:line="280" w:lineRule="exact"/>
              <w:jc w:val="center"/>
              <w:rPr>
                <w:rFonts w:ascii="Times New Roman" w:hAnsi="Times New Roman" w:eastAsia="仿宋_GB2312"/>
                <w:b/>
                <w:color w:val="auto"/>
                <w:kern w:val="0"/>
                <w:szCs w:val="21"/>
              </w:rPr>
            </w:pPr>
            <w:r>
              <w:rPr>
                <w:rFonts w:hint="eastAsia" w:ascii="Times New Roman" w:hAnsi="Times New Roman" w:eastAsia="仿宋_GB2312"/>
                <w:b/>
                <w:color w:val="auto"/>
                <w:kern w:val="0"/>
                <w:szCs w:val="21"/>
              </w:rPr>
              <w:t>频次</w:t>
            </w:r>
          </w:p>
          <w:p w14:paraId="5E655BE3">
            <w:pPr>
              <w:spacing w:line="280" w:lineRule="exact"/>
              <w:jc w:val="center"/>
              <w:rPr>
                <w:rFonts w:ascii="Times New Roman" w:hAnsi="Times New Roman" w:eastAsia="仿宋_GB2312"/>
                <w:b/>
                <w:color w:val="auto"/>
                <w:kern w:val="0"/>
                <w:szCs w:val="21"/>
              </w:rPr>
            </w:pPr>
            <w:r>
              <w:rPr>
                <w:rFonts w:hint="eastAsia" w:ascii="Times New Roman" w:hAnsi="Times New Roman" w:eastAsia="仿宋_GB2312"/>
                <w:b/>
                <w:color w:val="auto"/>
                <w:kern w:val="0"/>
                <w:szCs w:val="21"/>
              </w:rPr>
              <w:t>（时间）</w:t>
            </w:r>
          </w:p>
        </w:tc>
        <w:tc>
          <w:tcPr>
            <w:tcW w:w="2972" w:type="dxa"/>
            <w:gridSpan w:val="2"/>
            <w:vAlign w:val="center"/>
          </w:tcPr>
          <w:p w14:paraId="79D7ADA0">
            <w:pPr>
              <w:spacing w:line="280" w:lineRule="exact"/>
              <w:jc w:val="center"/>
              <w:rPr>
                <w:rFonts w:ascii="Times New Roman" w:hAnsi="Times New Roman" w:eastAsia="仿宋_GB2312"/>
                <w:b/>
                <w:color w:val="auto"/>
                <w:kern w:val="0"/>
                <w:szCs w:val="21"/>
              </w:rPr>
            </w:pPr>
            <w:r>
              <w:rPr>
                <w:rFonts w:hint="eastAsia" w:ascii="Times New Roman" w:hAnsi="Times New Roman" w:eastAsia="仿宋_GB2312"/>
                <w:b/>
                <w:color w:val="auto"/>
                <w:kern w:val="0"/>
                <w:szCs w:val="21"/>
              </w:rPr>
              <w:t>对应的行政权力事项</w:t>
            </w:r>
          </w:p>
        </w:tc>
        <w:tc>
          <w:tcPr>
            <w:tcW w:w="622" w:type="dxa"/>
            <w:vMerge w:val="restart"/>
            <w:vAlign w:val="center"/>
          </w:tcPr>
          <w:p w14:paraId="1966F125">
            <w:pPr>
              <w:spacing w:line="280" w:lineRule="exact"/>
              <w:jc w:val="center"/>
              <w:rPr>
                <w:rFonts w:ascii="Times New Roman" w:hAnsi="Times New Roman" w:eastAsia="仿宋_GB2312"/>
                <w:b/>
                <w:color w:val="auto"/>
                <w:kern w:val="0"/>
                <w:szCs w:val="21"/>
              </w:rPr>
            </w:pPr>
            <w:r>
              <w:rPr>
                <w:rFonts w:hint="eastAsia" w:ascii="Times New Roman" w:hAnsi="Times New Roman" w:eastAsia="仿宋_GB2312"/>
                <w:b/>
                <w:color w:val="auto"/>
                <w:kern w:val="0"/>
                <w:szCs w:val="21"/>
              </w:rPr>
              <w:t>备注</w:t>
            </w:r>
          </w:p>
        </w:tc>
      </w:tr>
      <w:tr w14:paraId="169F11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blHeader/>
          <w:jc w:val="center"/>
        </w:trPr>
        <w:tc>
          <w:tcPr>
            <w:tcW w:w="536" w:type="dxa"/>
            <w:vMerge w:val="continue"/>
            <w:tcBorders>
              <w:bottom w:val="single" w:color="auto" w:sz="4" w:space="0"/>
            </w:tcBorders>
            <w:vAlign w:val="center"/>
          </w:tcPr>
          <w:p w14:paraId="5FF747C2">
            <w:pPr>
              <w:spacing w:line="280" w:lineRule="exact"/>
              <w:jc w:val="center"/>
              <w:rPr>
                <w:rFonts w:ascii="Times New Roman" w:hAnsi="Times New Roman" w:eastAsia="仿宋_GB2312"/>
                <w:color w:val="auto"/>
                <w:kern w:val="0"/>
                <w:szCs w:val="21"/>
              </w:rPr>
            </w:pPr>
          </w:p>
        </w:tc>
        <w:tc>
          <w:tcPr>
            <w:tcW w:w="1324" w:type="dxa"/>
            <w:vMerge w:val="continue"/>
            <w:tcBorders>
              <w:bottom w:val="single" w:color="auto" w:sz="4" w:space="0"/>
            </w:tcBorders>
            <w:vAlign w:val="center"/>
          </w:tcPr>
          <w:p w14:paraId="712AD96A">
            <w:pPr>
              <w:spacing w:line="280" w:lineRule="exact"/>
              <w:jc w:val="center"/>
              <w:rPr>
                <w:rFonts w:ascii="Times New Roman" w:hAnsi="Times New Roman" w:eastAsia="仿宋_GB2312"/>
                <w:color w:val="auto"/>
                <w:kern w:val="0"/>
                <w:szCs w:val="21"/>
              </w:rPr>
            </w:pPr>
          </w:p>
        </w:tc>
        <w:tc>
          <w:tcPr>
            <w:tcW w:w="794" w:type="dxa"/>
            <w:vMerge w:val="continue"/>
            <w:tcBorders>
              <w:bottom w:val="single" w:color="auto" w:sz="4" w:space="0"/>
            </w:tcBorders>
            <w:vAlign w:val="center"/>
          </w:tcPr>
          <w:p w14:paraId="2CD10088">
            <w:pPr>
              <w:spacing w:line="280" w:lineRule="exact"/>
              <w:jc w:val="center"/>
              <w:rPr>
                <w:rFonts w:ascii="Times New Roman" w:hAnsi="Times New Roman" w:eastAsia="仿宋_GB2312"/>
                <w:color w:val="auto"/>
                <w:kern w:val="0"/>
                <w:szCs w:val="21"/>
              </w:rPr>
            </w:pPr>
          </w:p>
        </w:tc>
        <w:tc>
          <w:tcPr>
            <w:tcW w:w="872" w:type="dxa"/>
            <w:vMerge w:val="continue"/>
            <w:tcBorders>
              <w:bottom w:val="single" w:color="auto" w:sz="4" w:space="0"/>
            </w:tcBorders>
            <w:vAlign w:val="center"/>
          </w:tcPr>
          <w:p w14:paraId="56E67ADE">
            <w:pPr>
              <w:spacing w:line="280" w:lineRule="exact"/>
              <w:jc w:val="center"/>
              <w:rPr>
                <w:rFonts w:ascii="Times New Roman" w:hAnsi="Times New Roman" w:eastAsia="仿宋_GB2312"/>
                <w:color w:val="auto"/>
                <w:kern w:val="0"/>
                <w:szCs w:val="21"/>
              </w:rPr>
            </w:pPr>
          </w:p>
        </w:tc>
        <w:tc>
          <w:tcPr>
            <w:tcW w:w="869" w:type="dxa"/>
            <w:vMerge w:val="continue"/>
            <w:tcBorders>
              <w:bottom w:val="single" w:color="auto" w:sz="4" w:space="0"/>
            </w:tcBorders>
            <w:vAlign w:val="center"/>
          </w:tcPr>
          <w:p w14:paraId="33C676A7">
            <w:pPr>
              <w:spacing w:line="280" w:lineRule="exact"/>
              <w:jc w:val="center"/>
              <w:rPr>
                <w:rFonts w:ascii="Times New Roman" w:hAnsi="Times New Roman" w:eastAsia="仿宋_GB2312"/>
                <w:color w:val="auto"/>
                <w:kern w:val="0"/>
                <w:szCs w:val="21"/>
              </w:rPr>
            </w:pPr>
          </w:p>
        </w:tc>
        <w:tc>
          <w:tcPr>
            <w:tcW w:w="4962" w:type="dxa"/>
            <w:vMerge w:val="continue"/>
            <w:tcBorders>
              <w:bottom w:val="single" w:color="auto" w:sz="4" w:space="0"/>
            </w:tcBorders>
            <w:vAlign w:val="center"/>
          </w:tcPr>
          <w:p w14:paraId="75719B27">
            <w:pPr>
              <w:spacing w:line="280" w:lineRule="exact"/>
              <w:jc w:val="left"/>
              <w:rPr>
                <w:rFonts w:ascii="Times New Roman" w:hAnsi="Times New Roman" w:eastAsia="仿宋_GB2312"/>
                <w:color w:val="auto"/>
                <w:kern w:val="0"/>
                <w:szCs w:val="21"/>
              </w:rPr>
            </w:pPr>
          </w:p>
        </w:tc>
        <w:tc>
          <w:tcPr>
            <w:tcW w:w="992" w:type="dxa"/>
            <w:vMerge w:val="continue"/>
            <w:tcBorders>
              <w:bottom w:val="single" w:color="auto" w:sz="4" w:space="0"/>
            </w:tcBorders>
            <w:vAlign w:val="center"/>
          </w:tcPr>
          <w:p w14:paraId="162D1EF1">
            <w:pPr>
              <w:spacing w:line="280" w:lineRule="exact"/>
              <w:jc w:val="center"/>
              <w:rPr>
                <w:rFonts w:ascii="Times New Roman" w:hAnsi="Times New Roman" w:eastAsia="仿宋_GB2312"/>
                <w:color w:val="auto"/>
                <w:kern w:val="0"/>
                <w:szCs w:val="21"/>
              </w:rPr>
            </w:pPr>
          </w:p>
        </w:tc>
        <w:tc>
          <w:tcPr>
            <w:tcW w:w="1139" w:type="dxa"/>
            <w:vMerge w:val="continue"/>
            <w:tcBorders>
              <w:bottom w:val="single" w:color="auto" w:sz="4" w:space="0"/>
            </w:tcBorders>
            <w:vAlign w:val="center"/>
          </w:tcPr>
          <w:p w14:paraId="647FCC77">
            <w:pPr>
              <w:spacing w:line="280" w:lineRule="exact"/>
              <w:jc w:val="center"/>
              <w:rPr>
                <w:rFonts w:ascii="Times New Roman" w:hAnsi="Times New Roman" w:eastAsia="仿宋_GB2312"/>
                <w:color w:val="auto"/>
                <w:kern w:val="0"/>
                <w:szCs w:val="21"/>
              </w:rPr>
            </w:pPr>
          </w:p>
        </w:tc>
        <w:tc>
          <w:tcPr>
            <w:tcW w:w="1491" w:type="dxa"/>
            <w:tcBorders>
              <w:bottom w:val="single" w:color="auto" w:sz="4" w:space="0"/>
            </w:tcBorders>
            <w:vAlign w:val="center"/>
          </w:tcPr>
          <w:p w14:paraId="158FFC3E">
            <w:pPr>
              <w:spacing w:line="280" w:lineRule="exact"/>
              <w:jc w:val="center"/>
              <w:rPr>
                <w:rFonts w:ascii="Times New Roman" w:hAnsi="Times New Roman" w:eastAsia="仿宋_GB2312"/>
                <w:b/>
                <w:color w:val="auto"/>
                <w:kern w:val="0"/>
                <w:szCs w:val="21"/>
              </w:rPr>
            </w:pPr>
            <w:r>
              <w:rPr>
                <w:rFonts w:hint="eastAsia" w:ascii="Times New Roman" w:hAnsi="Times New Roman" w:eastAsia="仿宋_GB2312"/>
                <w:b/>
                <w:color w:val="auto"/>
                <w:kern w:val="0"/>
                <w:szCs w:val="21"/>
              </w:rPr>
              <w:t>权力编码</w:t>
            </w:r>
          </w:p>
        </w:tc>
        <w:tc>
          <w:tcPr>
            <w:tcW w:w="1481" w:type="dxa"/>
            <w:tcBorders>
              <w:bottom w:val="single" w:color="auto" w:sz="4" w:space="0"/>
            </w:tcBorders>
            <w:vAlign w:val="center"/>
          </w:tcPr>
          <w:p w14:paraId="72106FE3">
            <w:pPr>
              <w:spacing w:line="280" w:lineRule="exact"/>
              <w:jc w:val="center"/>
              <w:rPr>
                <w:rFonts w:ascii="Times New Roman" w:hAnsi="Times New Roman" w:eastAsia="仿宋_GB2312"/>
                <w:b/>
                <w:color w:val="auto"/>
                <w:kern w:val="0"/>
                <w:szCs w:val="21"/>
              </w:rPr>
            </w:pPr>
            <w:r>
              <w:rPr>
                <w:rFonts w:hint="eastAsia" w:ascii="Times New Roman" w:hAnsi="Times New Roman" w:eastAsia="仿宋_GB2312"/>
                <w:b/>
                <w:color w:val="auto"/>
                <w:kern w:val="0"/>
                <w:szCs w:val="21"/>
              </w:rPr>
              <w:t>权力名称</w:t>
            </w:r>
          </w:p>
        </w:tc>
        <w:tc>
          <w:tcPr>
            <w:tcW w:w="622" w:type="dxa"/>
            <w:vMerge w:val="continue"/>
            <w:tcBorders>
              <w:bottom w:val="single" w:color="auto" w:sz="4" w:space="0"/>
            </w:tcBorders>
            <w:vAlign w:val="center"/>
          </w:tcPr>
          <w:p w14:paraId="168DF4D7">
            <w:pPr>
              <w:spacing w:line="280" w:lineRule="exact"/>
              <w:jc w:val="center"/>
              <w:rPr>
                <w:rFonts w:ascii="Times New Roman" w:hAnsi="Times New Roman" w:eastAsia="仿宋_GB2312"/>
                <w:color w:val="auto"/>
                <w:kern w:val="0"/>
                <w:szCs w:val="21"/>
              </w:rPr>
            </w:pPr>
          </w:p>
        </w:tc>
      </w:tr>
      <w:tr w14:paraId="66DFA9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8" w:hRule="atLeast"/>
          <w:jc w:val="center"/>
        </w:trPr>
        <w:tc>
          <w:tcPr>
            <w:tcW w:w="536" w:type="dxa"/>
            <w:vMerge w:val="restart"/>
            <w:vAlign w:val="center"/>
          </w:tcPr>
          <w:p w14:paraId="021FE58B">
            <w:pPr>
              <w:autoSpaceDE w:val="0"/>
              <w:autoSpaceDN w:val="0"/>
              <w:spacing w:line="280" w:lineRule="exact"/>
              <w:jc w:val="center"/>
              <w:rPr>
                <w:rFonts w:ascii="Times New Roman" w:hAnsi="Times New Roman" w:eastAsia="仿宋_GB2312"/>
                <w:color w:val="auto"/>
                <w:szCs w:val="21"/>
              </w:rPr>
            </w:pPr>
            <w:r>
              <w:rPr>
                <w:rFonts w:hint="eastAsia" w:ascii="Times New Roman" w:hAnsi="Times New Roman" w:eastAsia="仿宋_GB2312"/>
                <w:color w:val="auto"/>
                <w:szCs w:val="21"/>
              </w:rPr>
              <w:t>1</w:t>
            </w:r>
          </w:p>
        </w:tc>
        <w:tc>
          <w:tcPr>
            <w:tcW w:w="1324" w:type="dxa"/>
            <w:vMerge w:val="restart"/>
            <w:vAlign w:val="center"/>
          </w:tcPr>
          <w:p w14:paraId="085E58F1">
            <w:pPr>
              <w:widowControl/>
              <w:autoSpaceDE w:val="0"/>
              <w:autoSpaceDN w:val="0"/>
              <w:spacing w:line="280" w:lineRule="exact"/>
              <w:rPr>
                <w:rFonts w:ascii="Times New Roman" w:hAnsi="Times New Roman" w:eastAsia="仿宋_GB2312"/>
                <w:color w:val="auto"/>
                <w:szCs w:val="21"/>
              </w:rPr>
            </w:pPr>
            <w:r>
              <w:rPr>
                <w:rFonts w:hint="eastAsia" w:ascii="Times New Roman" w:hAnsi="Times New Roman" w:eastAsia="仿宋_GB2312"/>
                <w:color w:val="auto"/>
                <w:szCs w:val="21"/>
              </w:rPr>
              <w:t>对房地产开发企业从事房地产开发经营活动的检查</w:t>
            </w:r>
          </w:p>
          <w:p w14:paraId="6C6487E2">
            <w:pPr>
              <w:autoSpaceDE w:val="0"/>
              <w:autoSpaceDN w:val="0"/>
              <w:spacing w:line="280" w:lineRule="exact"/>
              <w:rPr>
                <w:rFonts w:ascii="Times New Roman" w:hAnsi="Times New Roman" w:eastAsia="仿宋_GB2312"/>
                <w:color w:val="auto"/>
                <w:szCs w:val="21"/>
              </w:rPr>
            </w:pPr>
          </w:p>
        </w:tc>
        <w:tc>
          <w:tcPr>
            <w:tcW w:w="794" w:type="dxa"/>
            <w:vMerge w:val="restart"/>
            <w:vAlign w:val="center"/>
          </w:tcPr>
          <w:p w14:paraId="2C01F0FC">
            <w:pPr>
              <w:autoSpaceDE w:val="0"/>
              <w:autoSpaceDN w:val="0"/>
              <w:spacing w:line="280" w:lineRule="exact"/>
              <w:jc w:val="center"/>
              <w:rPr>
                <w:rFonts w:ascii="Times New Roman" w:hAnsi="Times New Roman" w:eastAsia="仿宋_GB2312"/>
                <w:color w:val="auto"/>
                <w:szCs w:val="21"/>
              </w:rPr>
            </w:pPr>
            <w:r>
              <w:rPr>
                <w:rFonts w:hint="eastAsia" w:ascii="Times New Roman" w:hAnsi="Times New Roman" w:eastAsia="仿宋_GB2312" w:cs="宋体"/>
                <w:color w:val="auto"/>
                <w:szCs w:val="21"/>
              </w:rPr>
              <w:t>苏州市相城区住房和城乡建设局</w:t>
            </w:r>
          </w:p>
        </w:tc>
        <w:tc>
          <w:tcPr>
            <w:tcW w:w="872" w:type="dxa"/>
            <w:vMerge w:val="restart"/>
            <w:vAlign w:val="center"/>
          </w:tcPr>
          <w:p w14:paraId="18EF3E2D">
            <w:pPr>
              <w:autoSpaceDE w:val="0"/>
              <w:autoSpaceDN w:val="0"/>
              <w:spacing w:line="280" w:lineRule="exact"/>
              <w:rPr>
                <w:rFonts w:ascii="Times New Roman" w:hAnsi="Times New Roman" w:eastAsia="仿宋_GB2312"/>
                <w:color w:val="auto"/>
                <w:szCs w:val="21"/>
              </w:rPr>
            </w:pPr>
            <w:r>
              <w:rPr>
                <w:rFonts w:hint="eastAsia" w:ascii="Times New Roman" w:hAnsi="Times New Roman" w:eastAsia="仿宋_GB2312"/>
                <w:color w:val="auto"/>
                <w:szCs w:val="21"/>
              </w:rPr>
              <w:t>房地产市场监管科</w:t>
            </w:r>
          </w:p>
        </w:tc>
        <w:tc>
          <w:tcPr>
            <w:tcW w:w="869" w:type="dxa"/>
            <w:vMerge w:val="restart"/>
            <w:vAlign w:val="center"/>
          </w:tcPr>
          <w:p w14:paraId="45D8957A">
            <w:pPr>
              <w:autoSpaceDE w:val="0"/>
              <w:autoSpaceDN w:val="0"/>
              <w:spacing w:line="280" w:lineRule="exact"/>
              <w:jc w:val="center"/>
              <w:rPr>
                <w:rFonts w:ascii="Times New Roman" w:hAnsi="Times New Roman" w:eastAsia="仿宋_GB2312"/>
                <w:color w:val="auto"/>
                <w:szCs w:val="21"/>
              </w:rPr>
            </w:pPr>
            <w:r>
              <w:rPr>
                <w:rFonts w:hint="eastAsia" w:ascii="Times New Roman" w:hAnsi="Times New Roman" w:eastAsia="仿宋_GB2312"/>
                <w:color w:val="auto"/>
                <w:szCs w:val="21"/>
              </w:rPr>
              <w:t>开发</w:t>
            </w:r>
          </w:p>
          <w:p w14:paraId="5B01FB97">
            <w:pPr>
              <w:autoSpaceDE w:val="0"/>
              <w:autoSpaceDN w:val="0"/>
              <w:spacing w:line="280" w:lineRule="exact"/>
              <w:jc w:val="center"/>
              <w:rPr>
                <w:rFonts w:ascii="Times New Roman" w:hAnsi="Times New Roman" w:eastAsia="仿宋_GB2312"/>
                <w:color w:val="auto"/>
                <w:szCs w:val="21"/>
              </w:rPr>
            </w:pPr>
            <w:r>
              <w:rPr>
                <w:rFonts w:hint="eastAsia" w:ascii="Times New Roman" w:hAnsi="Times New Roman" w:eastAsia="仿宋_GB2312"/>
                <w:color w:val="auto"/>
                <w:szCs w:val="21"/>
              </w:rPr>
              <w:t>企业</w:t>
            </w:r>
          </w:p>
        </w:tc>
        <w:tc>
          <w:tcPr>
            <w:tcW w:w="4962" w:type="dxa"/>
            <w:vAlign w:val="center"/>
          </w:tcPr>
          <w:p w14:paraId="0BAAFE89">
            <w:pPr>
              <w:spacing w:line="280" w:lineRule="exact"/>
              <w:rPr>
                <w:rFonts w:ascii="Times New Roman" w:hAnsi="Times New Roman" w:eastAsia="仿宋_GB2312"/>
                <w:color w:val="auto"/>
                <w:szCs w:val="21"/>
              </w:rPr>
            </w:pPr>
            <w:r>
              <w:rPr>
                <w:rFonts w:hint="eastAsia" w:ascii="Times New Roman" w:hAnsi="Times New Roman" w:eastAsia="仿宋_GB2312"/>
                <w:color w:val="auto"/>
                <w:szCs w:val="21"/>
              </w:rPr>
              <w:t>【法律】《中华人民共和国城市房地产管理法》</w:t>
            </w:r>
          </w:p>
          <w:p w14:paraId="245B93DF">
            <w:pPr>
              <w:spacing w:line="280" w:lineRule="exact"/>
              <w:rPr>
                <w:rFonts w:ascii="Times New Roman" w:hAnsi="Times New Roman" w:eastAsia="仿宋_GB2312"/>
                <w:color w:val="auto"/>
                <w:szCs w:val="21"/>
              </w:rPr>
            </w:pPr>
            <w:r>
              <w:rPr>
                <w:rFonts w:hint="eastAsia" w:ascii="Times New Roman" w:hAnsi="Times New Roman" w:eastAsia="仿宋_GB2312"/>
                <w:color w:val="auto"/>
                <w:szCs w:val="21"/>
              </w:rPr>
              <w:t xml:space="preserve">    第四十五条第一款  商品房预售，应当符合下列条件：</w:t>
            </w:r>
          </w:p>
          <w:p w14:paraId="640E42AB">
            <w:pPr>
              <w:spacing w:line="280" w:lineRule="exact"/>
              <w:rPr>
                <w:rFonts w:ascii="Times New Roman" w:hAnsi="Times New Roman" w:eastAsia="仿宋_GB2312"/>
                <w:color w:val="auto"/>
                <w:szCs w:val="21"/>
              </w:rPr>
            </w:pPr>
            <w:r>
              <w:rPr>
                <w:rFonts w:hint="eastAsia" w:ascii="Times New Roman" w:hAnsi="Times New Roman" w:eastAsia="仿宋_GB2312"/>
                <w:color w:val="auto"/>
                <w:szCs w:val="21"/>
              </w:rPr>
              <w:t xml:space="preserve">    （一）已交付全部土地使用权出让金，取得土地使用权证书；</w:t>
            </w:r>
          </w:p>
          <w:p w14:paraId="70DFE6AF">
            <w:pPr>
              <w:spacing w:line="280" w:lineRule="exact"/>
              <w:rPr>
                <w:rFonts w:ascii="Times New Roman" w:hAnsi="Times New Roman" w:eastAsia="仿宋_GB2312"/>
                <w:color w:val="auto"/>
                <w:szCs w:val="21"/>
              </w:rPr>
            </w:pPr>
            <w:r>
              <w:rPr>
                <w:rFonts w:hint="eastAsia" w:ascii="Times New Roman" w:hAnsi="Times New Roman" w:eastAsia="仿宋_GB2312"/>
                <w:color w:val="auto"/>
                <w:szCs w:val="21"/>
              </w:rPr>
              <w:t xml:space="preserve">    （二）持有建设工程规划许可证；</w:t>
            </w:r>
          </w:p>
          <w:p w14:paraId="32A47181">
            <w:pPr>
              <w:spacing w:line="280" w:lineRule="exact"/>
              <w:rPr>
                <w:rFonts w:ascii="Times New Roman" w:hAnsi="Times New Roman" w:eastAsia="仿宋_GB2312"/>
                <w:color w:val="auto"/>
                <w:szCs w:val="21"/>
              </w:rPr>
            </w:pPr>
            <w:r>
              <w:rPr>
                <w:rFonts w:hint="eastAsia" w:ascii="Times New Roman" w:hAnsi="Times New Roman" w:eastAsia="仿宋_GB2312"/>
                <w:color w:val="auto"/>
                <w:szCs w:val="21"/>
              </w:rPr>
              <w:t xml:space="preserve">    （三）按提供预售的商品房计算，投入开发建设的资金达到工程建设总投资的百分之二十五以上，并已经确定施工进度和竣工交付日期；</w:t>
            </w:r>
          </w:p>
          <w:p w14:paraId="733B6A8B">
            <w:pPr>
              <w:spacing w:line="280" w:lineRule="exact"/>
              <w:rPr>
                <w:rFonts w:ascii="Times New Roman" w:hAnsi="Times New Roman" w:eastAsia="仿宋_GB2312"/>
                <w:color w:val="auto"/>
                <w:szCs w:val="21"/>
              </w:rPr>
            </w:pPr>
            <w:r>
              <w:rPr>
                <w:rFonts w:hint="eastAsia" w:ascii="Times New Roman" w:hAnsi="Times New Roman" w:eastAsia="仿宋_GB2312"/>
                <w:color w:val="auto"/>
                <w:szCs w:val="21"/>
              </w:rPr>
              <w:t xml:space="preserve">    （四）向县级以上人民政府房产管理部门办理预售登记，取得商品房预售许可证明。</w:t>
            </w:r>
          </w:p>
        </w:tc>
        <w:tc>
          <w:tcPr>
            <w:tcW w:w="992" w:type="dxa"/>
            <w:vMerge w:val="restart"/>
            <w:vAlign w:val="center"/>
          </w:tcPr>
          <w:p w14:paraId="29A5D347">
            <w:pPr>
              <w:autoSpaceDE w:val="0"/>
              <w:autoSpaceDN w:val="0"/>
              <w:spacing w:line="280" w:lineRule="exact"/>
              <w:jc w:val="center"/>
              <w:rPr>
                <w:rFonts w:ascii="Times New Roman" w:hAnsi="Times New Roman" w:eastAsia="仿宋_GB2312"/>
                <w:color w:val="auto"/>
                <w:szCs w:val="21"/>
              </w:rPr>
            </w:pPr>
            <w:r>
              <w:rPr>
                <w:rFonts w:hint="eastAsia" w:ascii="Times New Roman" w:hAnsi="Times New Roman" w:eastAsia="仿宋_GB2312"/>
                <w:color w:val="auto"/>
                <w:szCs w:val="21"/>
              </w:rPr>
              <w:t>现场</w:t>
            </w:r>
          </w:p>
          <w:p w14:paraId="32C55657">
            <w:pPr>
              <w:autoSpaceDE w:val="0"/>
              <w:autoSpaceDN w:val="0"/>
              <w:spacing w:line="280" w:lineRule="exact"/>
              <w:jc w:val="center"/>
              <w:rPr>
                <w:rFonts w:ascii="Times New Roman" w:hAnsi="Times New Roman" w:eastAsia="仿宋_GB2312"/>
                <w:color w:val="auto"/>
                <w:szCs w:val="21"/>
              </w:rPr>
            </w:pPr>
            <w:r>
              <w:rPr>
                <w:rFonts w:hint="eastAsia" w:ascii="Times New Roman" w:hAnsi="Times New Roman" w:eastAsia="仿宋_GB2312"/>
                <w:color w:val="auto"/>
                <w:szCs w:val="21"/>
              </w:rPr>
              <w:t>检查</w:t>
            </w:r>
          </w:p>
        </w:tc>
        <w:tc>
          <w:tcPr>
            <w:tcW w:w="1139" w:type="dxa"/>
            <w:vMerge w:val="restart"/>
            <w:vAlign w:val="center"/>
          </w:tcPr>
          <w:p w14:paraId="0DD6D808">
            <w:pPr>
              <w:autoSpaceDE w:val="0"/>
              <w:autoSpaceDN w:val="0"/>
              <w:spacing w:line="280" w:lineRule="exact"/>
              <w:jc w:val="center"/>
              <w:rPr>
                <w:rFonts w:ascii="Times New Roman" w:hAnsi="Times New Roman" w:eastAsia="仿宋_GB2312"/>
                <w:color w:val="auto"/>
                <w:szCs w:val="21"/>
              </w:rPr>
            </w:pPr>
            <w:r>
              <w:rPr>
                <w:rFonts w:hint="eastAsia" w:ascii="Times New Roman" w:hAnsi="Times New Roman" w:eastAsia="仿宋_GB2312"/>
                <w:color w:val="auto"/>
                <w:szCs w:val="21"/>
              </w:rPr>
              <w:t>全年</w:t>
            </w:r>
          </w:p>
        </w:tc>
        <w:tc>
          <w:tcPr>
            <w:tcW w:w="1491" w:type="dxa"/>
            <w:vAlign w:val="center"/>
          </w:tcPr>
          <w:p w14:paraId="6F42AFAB">
            <w:pPr>
              <w:spacing w:line="280" w:lineRule="exact"/>
              <w:jc w:val="center"/>
              <w:rPr>
                <w:rFonts w:ascii="Times New Roman" w:hAnsi="Times New Roman" w:eastAsia="仿宋_GB2312"/>
                <w:color w:val="auto"/>
                <w:szCs w:val="21"/>
              </w:rPr>
            </w:pPr>
            <w:r>
              <w:rPr>
                <w:rFonts w:ascii="Times New Roman" w:hAnsi="Times New Roman" w:eastAsia="仿宋_GB2312"/>
                <w:color w:val="auto"/>
                <w:szCs w:val="21"/>
              </w:rPr>
              <w:t>000117050000</w:t>
            </w:r>
          </w:p>
        </w:tc>
        <w:tc>
          <w:tcPr>
            <w:tcW w:w="1481" w:type="dxa"/>
            <w:vAlign w:val="center"/>
          </w:tcPr>
          <w:p w14:paraId="7B75A0B3">
            <w:pPr>
              <w:spacing w:line="280" w:lineRule="exact"/>
              <w:jc w:val="center"/>
              <w:rPr>
                <w:rFonts w:ascii="Times New Roman" w:hAnsi="Times New Roman" w:eastAsia="仿宋_GB2312"/>
                <w:color w:val="auto"/>
                <w:szCs w:val="21"/>
              </w:rPr>
            </w:pPr>
            <w:r>
              <w:rPr>
                <w:rFonts w:hint="eastAsia" w:ascii="Times New Roman" w:hAnsi="Times New Roman" w:eastAsia="仿宋_GB2312"/>
                <w:color w:val="auto"/>
                <w:szCs w:val="21"/>
              </w:rPr>
              <w:t>商品房预售许可</w:t>
            </w:r>
          </w:p>
        </w:tc>
        <w:tc>
          <w:tcPr>
            <w:tcW w:w="622" w:type="dxa"/>
            <w:vAlign w:val="center"/>
          </w:tcPr>
          <w:p w14:paraId="594893B0">
            <w:pPr>
              <w:spacing w:line="280" w:lineRule="exact"/>
              <w:jc w:val="center"/>
              <w:rPr>
                <w:rFonts w:hint="eastAsia" w:ascii="Times New Roman" w:hAnsi="Times New Roman" w:eastAsia="仿宋_GB2312"/>
                <w:color w:val="auto"/>
                <w:kern w:val="0"/>
                <w:szCs w:val="21"/>
                <w:lang w:val="en-US" w:eastAsia="zh-CN"/>
              </w:rPr>
            </w:pPr>
            <w:r>
              <w:rPr>
                <w:rFonts w:hint="eastAsia" w:ascii="Times New Roman" w:hAnsi="Times New Roman" w:eastAsia="仿宋_GB2312"/>
                <w:color w:val="auto"/>
                <w:kern w:val="0"/>
                <w:szCs w:val="21"/>
                <w:lang w:val="en-US" w:eastAsia="zh-CN"/>
              </w:rPr>
              <w:t>初审</w:t>
            </w:r>
          </w:p>
        </w:tc>
      </w:tr>
      <w:tr w14:paraId="29893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5" w:hRule="atLeast"/>
          <w:jc w:val="center"/>
        </w:trPr>
        <w:tc>
          <w:tcPr>
            <w:tcW w:w="536" w:type="dxa"/>
            <w:vMerge w:val="continue"/>
            <w:vAlign w:val="center"/>
          </w:tcPr>
          <w:p w14:paraId="62CA145F">
            <w:pPr>
              <w:widowControl/>
              <w:autoSpaceDE w:val="0"/>
              <w:autoSpaceDN w:val="0"/>
              <w:spacing w:line="280" w:lineRule="exact"/>
              <w:jc w:val="center"/>
              <w:rPr>
                <w:rFonts w:ascii="Times New Roman" w:hAnsi="Times New Roman" w:eastAsia="仿宋_GB2312"/>
                <w:color w:val="auto"/>
                <w:szCs w:val="21"/>
              </w:rPr>
            </w:pPr>
          </w:p>
        </w:tc>
        <w:tc>
          <w:tcPr>
            <w:tcW w:w="1324" w:type="dxa"/>
            <w:vMerge w:val="continue"/>
            <w:vAlign w:val="center"/>
          </w:tcPr>
          <w:p w14:paraId="21AFE670">
            <w:pPr>
              <w:widowControl/>
              <w:autoSpaceDE w:val="0"/>
              <w:autoSpaceDN w:val="0"/>
              <w:spacing w:line="280" w:lineRule="exact"/>
              <w:rPr>
                <w:rFonts w:ascii="Times New Roman" w:hAnsi="Times New Roman" w:eastAsia="仿宋_GB2312"/>
                <w:color w:val="auto"/>
                <w:szCs w:val="21"/>
              </w:rPr>
            </w:pPr>
          </w:p>
        </w:tc>
        <w:tc>
          <w:tcPr>
            <w:tcW w:w="794" w:type="dxa"/>
            <w:vMerge w:val="continue"/>
            <w:vAlign w:val="center"/>
          </w:tcPr>
          <w:p w14:paraId="0E007194">
            <w:pPr>
              <w:widowControl/>
              <w:autoSpaceDE w:val="0"/>
              <w:autoSpaceDN w:val="0"/>
              <w:spacing w:line="280" w:lineRule="exact"/>
              <w:jc w:val="center"/>
              <w:rPr>
                <w:rFonts w:ascii="Times New Roman" w:hAnsi="Times New Roman" w:eastAsia="仿宋_GB2312"/>
                <w:color w:val="auto"/>
                <w:szCs w:val="21"/>
              </w:rPr>
            </w:pPr>
          </w:p>
        </w:tc>
        <w:tc>
          <w:tcPr>
            <w:tcW w:w="872" w:type="dxa"/>
            <w:vMerge w:val="continue"/>
            <w:vAlign w:val="center"/>
          </w:tcPr>
          <w:p w14:paraId="6F02E5F4">
            <w:pPr>
              <w:widowControl/>
              <w:autoSpaceDE w:val="0"/>
              <w:autoSpaceDN w:val="0"/>
              <w:spacing w:line="280" w:lineRule="exact"/>
              <w:jc w:val="center"/>
              <w:rPr>
                <w:rFonts w:ascii="Times New Roman" w:hAnsi="Times New Roman" w:eastAsia="仿宋_GB2312"/>
                <w:color w:val="auto"/>
                <w:szCs w:val="21"/>
              </w:rPr>
            </w:pPr>
          </w:p>
        </w:tc>
        <w:tc>
          <w:tcPr>
            <w:tcW w:w="869" w:type="dxa"/>
            <w:vMerge w:val="continue"/>
            <w:vAlign w:val="center"/>
          </w:tcPr>
          <w:p w14:paraId="4C2E5565">
            <w:pPr>
              <w:widowControl/>
              <w:autoSpaceDE w:val="0"/>
              <w:autoSpaceDN w:val="0"/>
              <w:spacing w:line="280" w:lineRule="exact"/>
              <w:jc w:val="center"/>
              <w:rPr>
                <w:rFonts w:ascii="Times New Roman" w:hAnsi="Times New Roman" w:eastAsia="仿宋_GB2312"/>
                <w:color w:val="auto"/>
                <w:szCs w:val="21"/>
              </w:rPr>
            </w:pPr>
          </w:p>
        </w:tc>
        <w:tc>
          <w:tcPr>
            <w:tcW w:w="4962" w:type="dxa"/>
            <w:vAlign w:val="center"/>
          </w:tcPr>
          <w:p w14:paraId="0AB97F6E">
            <w:pPr>
              <w:widowControl/>
              <w:autoSpaceDE w:val="0"/>
              <w:autoSpaceDN w:val="0"/>
              <w:spacing w:line="280" w:lineRule="exact"/>
              <w:rPr>
                <w:rFonts w:ascii="Times New Roman" w:hAnsi="Times New Roman" w:eastAsia="仿宋_GB2312"/>
                <w:color w:val="auto"/>
                <w:szCs w:val="21"/>
              </w:rPr>
            </w:pPr>
            <w:r>
              <w:rPr>
                <w:rFonts w:hint="eastAsia" w:ascii="Times New Roman" w:hAnsi="Times New Roman" w:eastAsia="仿宋_GB2312"/>
                <w:color w:val="auto"/>
                <w:szCs w:val="21"/>
              </w:rPr>
              <w:t>【法律】《中华人民共和国城市房地产管理法》</w:t>
            </w:r>
          </w:p>
          <w:p w14:paraId="0311A8E3">
            <w:pPr>
              <w:widowControl/>
              <w:autoSpaceDE w:val="0"/>
              <w:autoSpaceDN w:val="0"/>
              <w:spacing w:line="280" w:lineRule="exact"/>
              <w:rPr>
                <w:rFonts w:ascii="Times New Roman" w:hAnsi="Times New Roman" w:eastAsia="仿宋_GB2312"/>
                <w:color w:val="auto"/>
                <w:szCs w:val="21"/>
              </w:rPr>
            </w:pPr>
            <w:r>
              <w:rPr>
                <w:rFonts w:hint="eastAsia" w:ascii="Times New Roman" w:hAnsi="Times New Roman" w:eastAsia="仿宋_GB2312"/>
                <w:color w:val="auto"/>
                <w:szCs w:val="21"/>
              </w:rPr>
              <w:t xml:space="preserve">    第四十五条第一款  商品房预售，应当符合下列条件：</w:t>
            </w:r>
          </w:p>
          <w:p w14:paraId="2643618E">
            <w:pPr>
              <w:widowControl/>
              <w:autoSpaceDE w:val="0"/>
              <w:autoSpaceDN w:val="0"/>
              <w:spacing w:line="280" w:lineRule="exact"/>
              <w:rPr>
                <w:rFonts w:ascii="Times New Roman" w:hAnsi="Times New Roman" w:eastAsia="仿宋_GB2312"/>
                <w:color w:val="auto"/>
                <w:szCs w:val="21"/>
              </w:rPr>
            </w:pPr>
            <w:r>
              <w:rPr>
                <w:rFonts w:hint="eastAsia" w:ascii="Times New Roman" w:hAnsi="Times New Roman" w:eastAsia="仿宋_GB2312"/>
                <w:color w:val="auto"/>
                <w:szCs w:val="21"/>
              </w:rPr>
              <w:t xml:space="preserve">    （一）已交付全部土地使用权出让金，取得土地使用权证书；</w:t>
            </w:r>
          </w:p>
          <w:p w14:paraId="73F3C3D3">
            <w:pPr>
              <w:widowControl/>
              <w:autoSpaceDE w:val="0"/>
              <w:autoSpaceDN w:val="0"/>
              <w:spacing w:line="280" w:lineRule="exact"/>
              <w:rPr>
                <w:rFonts w:ascii="Times New Roman" w:hAnsi="Times New Roman" w:eastAsia="仿宋_GB2312"/>
                <w:color w:val="auto"/>
                <w:szCs w:val="21"/>
              </w:rPr>
            </w:pPr>
            <w:r>
              <w:rPr>
                <w:rFonts w:hint="eastAsia" w:ascii="Times New Roman" w:hAnsi="Times New Roman" w:eastAsia="仿宋_GB2312"/>
                <w:color w:val="auto"/>
                <w:szCs w:val="21"/>
              </w:rPr>
              <w:t xml:space="preserve">    （二）持有建设工程规划许可证；</w:t>
            </w:r>
          </w:p>
          <w:p w14:paraId="08B35F04">
            <w:pPr>
              <w:widowControl/>
              <w:autoSpaceDE w:val="0"/>
              <w:autoSpaceDN w:val="0"/>
              <w:spacing w:line="280" w:lineRule="exact"/>
              <w:rPr>
                <w:rFonts w:ascii="Times New Roman" w:hAnsi="Times New Roman" w:eastAsia="仿宋_GB2312"/>
                <w:color w:val="auto"/>
                <w:szCs w:val="21"/>
              </w:rPr>
            </w:pPr>
            <w:r>
              <w:rPr>
                <w:rFonts w:hint="eastAsia" w:ascii="Times New Roman" w:hAnsi="Times New Roman" w:eastAsia="仿宋_GB2312"/>
                <w:color w:val="auto"/>
                <w:szCs w:val="21"/>
              </w:rPr>
              <w:t xml:space="preserve">    （三）按提供预售的商品房计算，投入开发建设的资金达到工程建设总投资的百分之二十五以上，并已经确定施工进度和竣工交付日期；</w:t>
            </w:r>
          </w:p>
          <w:p w14:paraId="30E79BF5">
            <w:pPr>
              <w:widowControl/>
              <w:autoSpaceDE w:val="0"/>
              <w:autoSpaceDN w:val="0"/>
              <w:spacing w:line="280" w:lineRule="exact"/>
              <w:rPr>
                <w:rFonts w:ascii="Times New Roman" w:hAnsi="Times New Roman" w:eastAsia="仿宋_GB2312"/>
                <w:color w:val="auto"/>
                <w:szCs w:val="21"/>
              </w:rPr>
            </w:pPr>
            <w:r>
              <w:rPr>
                <w:rFonts w:hint="eastAsia" w:ascii="Times New Roman" w:hAnsi="Times New Roman" w:eastAsia="仿宋_GB2312"/>
                <w:color w:val="auto"/>
                <w:szCs w:val="21"/>
              </w:rPr>
              <w:t xml:space="preserve">    （四）向县级以上人民政府房产管理部门办理预售登记，取得商品房预售许可证明。</w:t>
            </w:r>
          </w:p>
        </w:tc>
        <w:tc>
          <w:tcPr>
            <w:tcW w:w="992" w:type="dxa"/>
            <w:vMerge w:val="continue"/>
            <w:vAlign w:val="center"/>
          </w:tcPr>
          <w:p w14:paraId="75411323">
            <w:pPr>
              <w:widowControl/>
              <w:autoSpaceDE w:val="0"/>
              <w:autoSpaceDN w:val="0"/>
              <w:spacing w:line="280" w:lineRule="exact"/>
              <w:jc w:val="center"/>
              <w:rPr>
                <w:rFonts w:ascii="Times New Roman" w:hAnsi="Times New Roman" w:eastAsia="仿宋_GB2312"/>
                <w:color w:val="auto"/>
                <w:szCs w:val="21"/>
              </w:rPr>
            </w:pPr>
          </w:p>
        </w:tc>
        <w:tc>
          <w:tcPr>
            <w:tcW w:w="1139" w:type="dxa"/>
            <w:vMerge w:val="continue"/>
            <w:vAlign w:val="center"/>
          </w:tcPr>
          <w:p w14:paraId="52D65C6E">
            <w:pPr>
              <w:widowControl/>
              <w:autoSpaceDE w:val="0"/>
              <w:autoSpaceDN w:val="0"/>
              <w:spacing w:line="280" w:lineRule="exact"/>
              <w:jc w:val="center"/>
              <w:rPr>
                <w:rFonts w:ascii="Times New Roman" w:hAnsi="Times New Roman" w:eastAsia="仿宋_GB2312"/>
                <w:color w:val="auto"/>
                <w:szCs w:val="21"/>
              </w:rPr>
            </w:pPr>
          </w:p>
        </w:tc>
        <w:tc>
          <w:tcPr>
            <w:tcW w:w="1491" w:type="dxa"/>
            <w:vAlign w:val="center"/>
          </w:tcPr>
          <w:p w14:paraId="693A910A">
            <w:pPr>
              <w:widowControl/>
              <w:autoSpaceDE w:val="0"/>
              <w:autoSpaceDN w:val="0"/>
              <w:spacing w:line="280" w:lineRule="exact"/>
              <w:jc w:val="center"/>
              <w:rPr>
                <w:rFonts w:ascii="Times New Roman" w:hAnsi="Times New Roman" w:eastAsia="仿宋_GB2312"/>
                <w:color w:val="auto"/>
                <w:szCs w:val="21"/>
              </w:rPr>
            </w:pPr>
            <w:r>
              <w:rPr>
                <w:rFonts w:hint="eastAsia" w:ascii="Times New Roman" w:hAnsi="Times New Roman" w:eastAsia="仿宋_GB2312"/>
                <w:color w:val="auto"/>
                <w:szCs w:val="21"/>
              </w:rPr>
              <w:t>320217560000</w:t>
            </w:r>
          </w:p>
        </w:tc>
        <w:tc>
          <w:tcPr>
            <w:tcW w:w="1481" w:type="dxa"/>
            <w:vAlign w:val="center"/>
          </w:tcPr>
          <w:p w14:paraId="0CEEF9AC">
            <w:pPr>
              <w:widowControl/>
              <w:autoSpaceDE w:val="0"/>
              <w:autoSpaceDN w:val="0"/>
              <w:spacing w:line="280" w:lineRule="exact"/>
              <w:rPr>
                <w:rFonts w:ascii="Times New Roman" w:hAnsi="Times New Roman" w:eastAsia="仿宋_GB2312"/>
                <w:color w:val="auto"/>
                <w:szCs w:val="21"/>
              </w:rPr>
            </w:pPr>
            <w:r>
              <w:rPr>
                <w:rFonts w:hint="eastAsia" w:ascii="Times New Roman" w:hAnsi="Times New Roman" w:eastAsia="仿宋_GB2312"/>
                <w:color w:val="auto"/>
                <w:szCs w:val="21"/>
              </w:rPr>
              <w:t>对房地产开发企业未取得商品房预售许可擅自预售商品房的处罚</w:t>
            </w:r>
          </w:p>
        </w:tc>
        <w:tc>
          <w:tcPr>
            <w:tcW w:w="622" w:type="dxa"/>
            <w:vAlign w:val="center"/>
          </w:tcPr>
          <w:p w14:paraId="7A529297">
            <w:pPr>
              <w:spacing w:line="280" w:lineRule="exact"/>
              <w:jc w:val="center"/>
              <w:rPr>
                <w:rFonts w:ascii="Times New Roman" w:hAnsi="Times New Roman" w:eastAsia="仿宋_GB2312"/>
                <w:color w:val="auto"/>
                <w:kern w:val="0"/>
                <w:szCs w:val="21"/>
              </w:rPr>
            </w:pPr>
          </w:p>
        </w:tc>
      </w:tr>
      <w:tr w14:paraId="5D196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6" w:type="dxa"/>
            <w:vMerge w:val="restart"/>
            <w:vAlign w:val="center"/>
          </w:tcPr>
          <w:p w14:paraId="60525D04">
            <w:pPr>
              <w:autoSpaceDE w:val="0"/>
              <w:autoSpaceDN w:val="0"/>
              <w:spacing w:line="280" w:lineRule="exact"/>
              <w:jc w:val="center"/>
              <w:rPr>
                <w:rFonts w:ascii="Times New Roman" w:hAnsi="Times New Roman" w:eastAsia="仿宋_GB2312"/>
                <w:color w:val="auto"/>
                <w:szCs w:val="21"/>
              </w:rPr>
            </w:pPr>
            <w:r>
              <w:rPr>
                <w:rFonts w:hint="eastAsia" w:ascii="Times New Roman" w:hAnsi="Times New Roman" w:eastAsia="仿宋_GB2312"/>
                <w:color w:val="auto"/>
                <w:szCs w:val="21"/>
              </w:rPr>
              <w:t>1</w:t>
            </w:r>
          </w:p>
        </w:tc>
        <w:tc>
          <w:tcPr>
            <w:tcW w:w="1324" w:type="dxa"/>
            <w:vMerge w:val="restart"/>
            <w:vAlign w:val="center"/>
          </w:tcPr>
          <w:p w14:paraId="2BF16F1E">
            <w:pPr>
              <w:widowControl/>
              <w:autoSpaceDE w:val="0"/>
              <w:autoSpaceDN w:val="0"/>
              <w:spacing w:line="280" w:lineRule="exact"/>
              <w:rPr>
                <w:rFonts w:ascii="Times New Roman" w:hAnsi="Times New Roman" w:eastAsia="仿宋_GB2312"/>
                <w:color w:val="auto"/>
                <w:szCs w:val="21"/>
              </w:rPr>
            </w:pPr>
            <w:r>
              <w:rPr>
                <w:rFonts w:hint="eastAsia" w:ascii="Times New Roman" w:hAnsi="Times New Roman" w:eastAsia="仿宋_GB2312"/>
                <w:color w:val="auto"/>
                <w:szCs w:val="21"/>
              </w:rPr>
              <w:t>对房地产开发企业从事房地产开发经营活动的检查</w:t>
            </w:r>
          </w:p>
          <w:p w14:paraId="706FB62A">
            <w:pPr>
              <w:autoSpaceDE w:val="0"/>
              <w:autoSpaceDN w:val="0"/>
              <w:spacing w:line="280" w:lineRule="exact"/>
              <w:rPr>
                <w:rFonts w:ascii="Times New Roman" w:hAnsi="Times New Roman" w:eastAsia="仿宋_GB2312"/>
                <w:color w:val="auto"/>
                <w:szCs w:val="21"/>
              </w:rPr>
            </w:pPr>
          </w:p>
        </w:tc>
        <w:tc>
          <w:tcPr>
            <w:tcW w:w="794" w:type="dxa"/>
            <w:vMerge w:val="restart"/>
            <w:vAlign w:val="center"/>
          </w:tcPr>
          <w:p w14:paraId="717EA406">
            <w:pPr>
              <w:autoSpaceDE w:val="0"/>
              <w:autoSpaceDN w:val="0"/>
              <w:spacing w:line="280" w:lineRule="exact"/>
              <w:jc w:val="center"/>
              <w:rPr>
                <w:rFonts w:ascii="Times New Roman" w:hAnsi="Times New Roman" w:eastAsia="仿宋_GB2312"/>
                <w:color w:val="auto"/>
                <w:szCs w:val="21"/>
              </w:rPr>
            </w:pPr>
            <w:r>
              <w:rPr>
                <w:rFonts w:hint="eastAsia" w:ascii="Times New Roman" w:hAnsi="Times New Roman" w:eastAsia="仿宋_GB2312" w:cs="宋体"/>
                <w:color w:val="auto"/>
                <w:szCs w:val="21"/>
              </w:rPr>
              <w:t>苏州市相城区住房和城乡建设局</w:t>
            </w:r>
          </w:p>
        </w:tc>
        <w:tc>
          <w:tcPr>
            <w:tcW w:w="872" w:type="dxa"/>
            <w:vMerge w:val="restart"/>
            <w:vAlign w:val="center"/>
          </w:tcPr>
          <w:p w14:paraId="637CF4B2">
            <w:pPr>
              <w:autoSpaceDE w:val="0"/>
              <w:autoSpaceDN w:val="0"/>
              <w:spacing w:line="280" w:lineRule="exact"/>
              <w:rPr>
                <w:rFonts w:ascii="Times New Roman" w:hAnsi="Times New Roman" w:eastAsia="仿宋_GB2312"/>
                <w:color w:val="auto"/>
                <w:szCs w:val="21"/>
              </w:rPr>
            </w:pPr>
            <w:r>
              <w:rPr>
                <w:rFonts w:hint="eastAsia" w:ascii="Times New Roman" w:hAnsi="Times New Roman" w:eastAsia="仿宋_GB2312"/>
                <w:color w:val="auto"/>
                <w:szCs w:val="21"/>
              </w:rPr>
              <w:t>房地产市场监管科</w:t>
            </w:r>
          </w:p>
        </w:tc>
        <w:tc>
          <w:tcPr>
            <w:tcW w:w="869" w:type="dxa"/>
            <w:vMerge w:val="restart"/>
            <w:vAlign w:val="center"/>
          </w:tcPr>
          <w:p w14:paraId="4A6137F0">
            <w:pPr>
              <w:autoSpaceDE w:val="0"/>
              <w:autoSpaceDN w:val="0"/>
              <w:spacing w:line="280" w:lineRule="exact"/>
              <w:jc w:val="center"/>
              <w:rPr>
                <w:rFonts w:ascii="Times New Roman" w:hAnsi="Times New Roman" w:eastAsia="仿宋_GB2312"/>
                <w:color w:val="auto"/>
                <w:szCs w:val="21"/>
              </w:rPr>
            </w:pPr>
            <w:r>
              <w:rPr>
                <w:rFonts w:hint="eastAsia" w:ascii="Times New Roman" w:hAnsi="Times New Roman" w:eastAsia="仿宋_GB2312"/>
                <w:color w:val="auto"/>
                <w:szCs w:val="21"/>
              </w:rPr>
              <w:t>开发</w:t>
            </w:r>
          </w:p>
          <w:p w14:paraId="021F7A2F">
            <w:pPr>
              <w:autoSpaceDE w:val="0"/>
              <w:autoSpaceDN w:val="0"/>
              <w:spacing w:line="280" w:lineRule="exact"/>
              <w:jc w:val="center"/>
              <w:rPr>
                <w:rFonts w:ascii="Times New Roman" w:hAnsi="Times New Roman" w:eastAsia="仿宋_GB2312"/>
                <w:color w:val="auto"/>
                <w:szCs w:val="21"/>
              </w:rPr>
            </w:pPr>
            <w:r>
              <w:rPr>
                <w:rFonts w:hint="eastAsia" w:ascii="Times New Roman" w:hAnsi="Times New Roman" w:eastAsia="仿宋_GB2312"/>
                <w:color w:val="auto"/>
                <w:szCs w:val="21"/>
              </w:rPr>
              <w:t>企业</w:t>
            </w:r>
          </w:p>
        </w:tc>
        <w:tc>
          <w:tcPr>
            <w:tcW w:w="4962" w:type="dxa"/>
            <w:vAlign w:val="center"/>
          </w:tcPr>
          <w:p w14:paraId="0D723517">
            <w:pPr>
              <w:widowControl/>
              <w:autoSpaceDE w:val="0"/>
              <w:autoSpaceDN w:val="0"/>
              <w:spacing w:line="280" w:lineRule="exact"/>
              <w:jc w:val="left"/>
              <w:rPr>
                <w:rFonts w:ascii="Times New Roman" w:hAnsi="Times New Roman" w:eastAsia="仿宋_GB2312"/>
                <w:color w:val="auto"/>
                <w:szCs w:val="21"/>
              </w:rPr>
            </w:pPr>
            <w:r>
              <w:rPr>
                <w:rFonts w:hint="eastAsia" w:ascii="Times New Roman" w:hAnsi="Times New Roman" w:eastAsia="仿宋_GB2312"/>
                <w:color w:val="auto"/>
                <w:szCs w:val="21"/>
              </w:rPr>
              <w:t>【规章】《城市房屋白蚁防治管理规定》</w:t>
            </w:r>
          </w:p>
          <w:p w14:paraId="09891BAA">
            <w:pPr>
              <w:widowControl/>
              <w:autoSpaceDE w:val="0"/>
              <w:autoSpaceDN w:val="0"/>
              <w:spacing w:line="280" w:lineRule="exact"/>
              <w:ind w:firstLine="420" w:firstLineChars="200"/>
              <w:jc w:val="left"/>
              <w:rPr>
                <w:rFonts w:ascii="Times New Roman" w:hAnsi="Times New Roman" w:eastAsia="仿宋_GB2312"/>
                <w:color w:val="auto"/>
                <w:szCs w:val="21"/>
              </w:rPr>
            </w:pPr>
            <w:r>
              <w:rPr>
                <w:rFonts w:hint="eastAsia" w:ascii="Times New Roman" w:hAnsi="Times New Roman" w:eastAsia="仿宋_GB2312"/>
                <w:color w:val="auto"/>
                <w:szCs w:val="21"/>
              </w:rPr>
              <w:t>第十一条第一款  房地产开发企业在进行商品房销（预）售时，应当向购房人出具该项目的《白蚁预防合同》或者其他实施房屋白蚁预防的证明文件，提供的《住宅质量保证书》中必须包括白蚁预防质量保证的内容。</w:t>
            </w:r>
          </w:p>
          <w:p w14:paraId="3B73D0FE">
            <w:pPr>
              <w:widowControl/>
              <w:autoSpaceDE w:val="0"/>
              <w:autoSpaceDN w:val="0"/>
              <w:spacing w:line="280" w:lineRule="exact"/>
              <w:jc w:val="left"/>
              <w:rPr>
                <w:rFonts w:ascii="Times New Roman" w:hAnsi="Times New Roman" w:eastAsia="仿宋_GB2312"/>
                <w:color w:val="auto"/>
                <w:szCs w:val="21"/>
              </w:rPr>
            </w:pPr>
            <w:r>
              <w:rPr>
                <w:rFonts w:hint="eastAsia" w:ascii="Times New Roman" w:hAnsi="Times New Roman" w:eastAsia="仿宋_GB2312"/>
                <w:color w:val="auto"/>
                <w:szCs w:val="21"/>
              </w:rPr>
              <w:t xml:space="preserve">    第十六条第一款  房地产开发企业违反本规定第十一条第一款的规定，由房屋所在地的县级以上地方人民政府房地产行政主管部门责令限期改正，并处以2万元以上3万元以下的罚款。</w:t>
            </w:r>
          </w:p>
        </w:tc>
        <w:tc>
          <w:tcPr>
            <w:tcW w:w="992" w:type="dxa"/>
            <w:vMerge w:val="restart"/>
            <w:vAlign w:val="center"/>
          </w:tcPr>
          <w:p w14:paraId="31F965A4">
            <w:pPr>
              <w:widowControl/>
              <w:autoSpaceDE w:val="0"/>
              <w:autoSpaceDN w:val="0"/>
              <w:spacing w:line="280" w:lineRule="exact"/>
              <w:jc w:val="center"/>
              <w:rPr>
                <w:rFonts w:ascii="Times New Roman" w:hAnsi="Times New Roman" w:eastAsia="仿宋_GB2312"/>
                <w:color w:val="auto"/>
                <w:szCs w:val="21"/>
              </w:rPr>
            </w:pPr>
            <w:r>
              <w:rPr>
                <w:rFonts w:hint="eastAsia" w:ascii="Times New Roman" w:hAnsi="Times New Roman" w:eastAsia="仿宋_GB2312"/>
                <w:color w:val="auto"/>
                <w:szCs w:val="21"/>
              </w:rPr>
              <w:t>现场</w:t>
            </w:r>
          </w:p>
          <w:p w14:paraId="0CE999AE">
            <w:pPr>
              <w:widowControl/>
              <w:autoSpaceDE w:val="0"/>
              <w:autoSpaceDN w:val="0"/>
              <w:spacing w:line="280" w:lineRule="exact"/>
              <w:jc w:val="center"/>
              <w:rPr>
                <w:rFonts w:ascii="Times New Roman" w:hAnsi="Times New Roman" w:eastAsia="仿宋_GB2312"/>
                <w:color w:val="auto"/>
                <w:szCs w:val="21"/>
              </w:rPr>
            </w:pPr>
            <w:r>
              <w:rPr>
                <w:rFonts w:hint="eastAsia" w:ascii="Times New Roman" w:hAnsi="Times New Roman" w:eastAsia="仿宋_GB2312"/>
                <w:color w:val="auto"/>
                <w:szCs w:val="21"/>
              </w:rPr>
              <w:t>检查</w:t>
            </w:r>
          </w:p>
        </w:tc>
        <w:tc>
          <w:tcPr>
            <w:tcW w:w="1139" w:type="dxa"/>
            <w:vMerge w:val="restart"/>
            <w:vAlign w:val="center"/>
          </w:tcPr>
          <w:p w14:paraId="5809F093">
            <w:pPr>
              <w:widowControl/>
              <w:autoSpaceDE w:val="0"/>
              <w:autoSpaceDN w:val="0"/>
              <w:spacing w:line="280" w:lineRule="exact"/>
              <w:jc w:val="center"/>
              <w:rPr>
                <w:rFonts w:ascii="Times New Roman" w:hAnsi="Times New Roman" w:eastAsia="仿宋_GB2312"/>
                <w:color w:val="auto"/>
                <w:szCs w:val="21"/>
              </w:rPr>
            </w:pPr>
            <w:r>
              <w:rPr>
                <w:rFonts w:hint="eastAsia" w:ascii="Times New Roman" w:hAnsi="Times New Roman" w:eastAsia="仿宋_GB2312"/>
                <w:color w:val="auto"/>
                <w:szCs w:val="21"/>
              </w:rPr>
              <w:t>全年</w:t>
            </w:r>
          </w:p>
        </w:tc>
        <w:tc>
          <w:tcPr>
            <w:tcW w:w="1491" w:type="dxa"/>
            <w:vAlign w:val="center"/>
          </w:tcPr>
          <w:p w14:paraId="19AF0DD7">
            <w:pPr>
              <w:widowControl/>
              <w:autoSpaceDE w:val="0"/>
              <w:autoSpaceDN w:val="0"/>
              <w:spacing w:line="280" w:lineRule="exact"/>
              <w:jc w:val="center"/>
              <w:rPr>
                <w:rFonts w:ascii="Times New Roman" w:hAnsi="Times New Roman" w:eastAsia="仿宋_GB2312"/>
                <w:color w:val="auto"/>
                <w:szCs w:val="21"/>
              </w:rPr>
            </w:pPr>
            <w:r>
              <w:rPr>
                <w:rFonts w:hint="eastAsia" w:ascii="Times New Roman" w:hAnsi="Times New Roman" w:eastAsia="仿宋_GB2312"/>
                <w:color w:val="auto"/>
                <w:szCs w:val="21"/>
              </w:rPr>
              <w:t>320217524000</w:t>
            </w:r>
          </w:p>
        </w:tc>
        <w:tc>
          <w:tcPr>
            <w:tcW w:w="1481" w:type="dxa"/>
            <w:vAlign w:val="center"/>
          </w:tcPr>
          <w:p w14:paraId="5A754CF9">
            <w:pPr>
              <w:widowControl/>
              <w:autoSpaceDE w:val="0"/>
              <w:autoSpaceDN w:val="0"/>
              <w:spacing w:line="280" w:lineRule="exact"/>
              <w:rPr>
                <w:rFonts w:ascii="Times New Roman" w:hAnsi="Times New Roman" w:eastAsia="仿宋_GB2312"/>
                <w:color w:val="auto"/>
                <w:szCs w:val="21"/>
              </w:rPr>
            </w:pPr>
            <w:r>
              <w:rPr>
                <w:rFonts w:hint="eastAsia" w:ascii="Times New Roman" w:hAnsi="Times New Roman" w:eastAsia="仿宋_GB2312"/>
                <w:color w:val="auto"/>
                <w:szCs w:val="21"/>
              </w:rPr>
              <w:t>对房地产开发企业在进行商品房销（预）售时未按照要求出具该项目的白蚁预防合同或者其他实施房屋白蚁预防的证明文件的处罚</w:t>
            </w:r>
          </w:p>
        </w:tc>
        <w:tc>
          <w:tcPr>
            <w:tcW w:w="622" w:type="dxa"/>
            <w:vAlign w:val="center"/>
          </w:tcPr>
          <w:p w14:paraId="3EC74E8F">
            <w:pPr>
              <w:spacing w:line="280" w:lineRule="exact"/>
              <w:rPr>
                <w:rFonts w:ascii="Times New Roman" w:hAnsi="Times New Roman" w:eastAsia="仿宋_GB2312"/>
                <w:color w:val="auto"/>
                <w:kern w:val="0"/>
                <w:szCs w:val="21"/>
              </w:rPr>
            </w:pPr>
          </w:p>
        </w:tc>
      </w:tr>
      <w:tr w14:paraId="43B76C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0" w:hRule="atLeast"/>
          <w:jc w:val="center"/>
        </w:trPr>
        <w:tc>
          <w:tcPr>
            <w:tcW w:w="536" w:type="dxa"/>
            <w:vMerge w:val="continue"/>
            <w:vAlign w:val="center"/>
          </w:tcPr>
          <w:p w14:paraId="529AA6F7">
            <w:pPr>
              <w:widowControl/>
              <w:autoSpaceDE w:val="0"/>
              <w:autoSpaceDN w:val="0"/>
              <w:spacing w:line="280" w:lineRule="exact"/>
              <w:jc w:val="left"/>
              <w:rPr>
                <w:rFonts w:ascii="Times New Roman" w:hAnsi="Times New Roman" w:eastAsia="仿宋_GB2312"/>
                <w:color w:val="auto"/>
                <w:szCs w:val="21"/>
              </w:rPr>
            </w:pPr>
          </w:p>
        </w:tc>
        <w:tc>
          <w:tcPr>
            <w:tcW w:w="1324" w:type="dxa"/>
            <w:vMerge w:val="continue"/>
            <w:vAlign w:val="center"/>
          </w:tcPr>
          <w:p w14:paraId="5E98F0BE">
            <w:pPr>
              <w:widowControl/>
              <w:autoSpaceDE w:val="0"/>
              <w:autoSpaceDN w:val="0"/>
              <w:spacing w:line="280" w:lineRule="exact"/>
              <w:jc w:val="left"/>
              <w:rPr>
                <w:rFonts w:ascii="Times New Roman" w:hAnsi="Times New Roman" w:eastAsia="仿宋_GB2312"/>
                <w:color w:val="auto"/>
                <w:szCs w:val="21"/>
              </w:rPr>
            </w:pPr>
          </w:p>
        </w:tc>
        <w:tc>
          <w:tcPr>
            <w:tcW w:w="794" w:type="dxa"/>
            <w:vMerge w:val="continue"/>
            <w:vAlign w:val="center"/>
          </w:tcPr>
          <w:p w14:paraId="16E7FC1E">
            <w:pPr>
              <w:widowControl/>
              <w:autoSpaceDE w:val="0"/>
              <w:autoSpaceDN w:val="0"/>
              <w:spacing w:line="280" w:lineRule="exact"/>
              <w:jc w:val="left"/>
              <w:rPr>
                <w:rFonts w:ascii="Times New Roman" w:hAnsi="Times New Roman" w:eastAsia="仿宋_GB2312"/>
                <w:color w:val="auto"/>
                <w:szCs w:val="21"/>
              </w:rPr>
            </w:pPr>
          </w:p>
        </w:tc>
        <w:tc>
          <w:tcPr>
            <w:tcW w:w="872" w:type="dxa"/>
            <w:vMerge w:val="continue"/>
            <w:vAlign w:val="center"/>
          </w:tcPr>
          <w:p w14:paraId="305EB0B5">
            <w:pPr>
              <w:widowControl/>
              <w:autoSpaceDE w:val="0"/>
              <w:autoSpaceDN w:val="0"/>
              <w:spacing w:line="280" w:lineRule="exact"/>
              <w:jc w:val="left"/>
              <w:rPr>
                <w:rFonts w:ascii="Times New Roman" w:hAnsi="Times New Roman" w:eastAsia="仿宋_GB2312"/>
                <w:color w:val="auto"/>
                <w:szCs w:val="21"/>
              </w:rPr>
            </w:pPr>
          </w:p>
        </w:tc>
        <w:tc>
          <w:tcPr>
            <w:tcW w:w="869" w:type="dxa"/>
            <w:vMerge w:val="continue"/>
            <w:vAlign w:val="center"/>
          </w:tcPr>
          <w:p w14:paraId="5F5A1E31">
            <w:pPr>
              <w:widowControl/>
              <w:autoSpaceDE w:val="0"/>
              <w:autoSpaceDN w:val="0"/>
              <w:spacing w:line="280" w:lineRule="exact"/>
              <w:jc w:val="left"/>
              <w:rPr>
                <w:rFonts w:ascii="Times New Roman" w:hAnsi="Times New Roman" w:eastAsia="仿宋_GB2312"/>
                <w:color w:val="auto"/>
                <w:szCs w:val="21"/>
              </w:rPr>
            </w:pPr>
          </w:p>
        </w:tc>
        <w:tc>
          <w:tcPr>
            <w:tcW w:w="4962" w:type="dxa"/>
            <w:vAlign w:val="center"/>
          </w:tcPr>
          <w:p w14:paraId="405DD867">
            <w:pPr>
              <w:widowControl/>
              <w:autoSpaceDE w:val="0"/>
              <w:autoSpaceDN w:val="0"/>
              <w:spacing w:line="280" w:lineRule="exact"/>
              <w:jc w:val="left"/>
              <w:rPr>
                <w:rFonts w:ascii="Times New Roman" w:hAnsi="Times New Roman" w:eastAsia="仿宋_GB2312"/>
                <w:color w:val="auto"/>
                <w:szCs w:val="21"/>
              </w:rPr>
            </w:pPr>
            <w:r>
              <w:rPr>
                <w:rFonts w:hint="eastAsia" w:ascii="Times New Roman" w:hAnsi="Times New Roman" w:eastAsia="仿宋_GB2312"/>
                <w:color w:val="auto"/>
                <w:szCs w:val="21"/>
              </w:rPr>
              <w:t>【规章】《商品房销售管理办法》</w:t>
            </w:r>
          </w:p>
          <w:p w14:paraId="4057E842">
            <w:pPr>
              <w:widowControl/>
              <w:autoSpaceDE w:val="0"/>
              <w:autoSpaceDN w:val="0"/>
              <w:spacing w:line="280" w:lineRule="exact"/>
              <w:jc w:val="left"/>
              <w:rPr>
                <w:rFonts w:ascii="Times New Roman" w:hAnsi="Times New Roman" w:eastAsia="仿宋_GB2312"/>
                <w:color w:val="auto"/>
                <w:szCs w:val="21"/>
              </w:rPr>
            </w:pPr>
            <w:r>
              <w:rPr>
                <w:rFonts w:hint="eastAsia" w:ascii="Times New Roman" w:hAnsi="Times New Roman" w:eastAsia="仿宋_GB2312"/>
                <w:color w:val="auto"/>
                <w:szCs w:val="21"/>
              </w:rPr>
              <w:t xml:space="preserve">    第二十五条第一款  房地产开发企业委托中介服务机构销售商品房的，受托机构应当是依法设立并取得工商营业执照的房地产中介服务机构。</w:t>
            </w:r>
          </w:p>
        </w:tc>
        <w:tc>
          <w:tcPr>
            <w:tcW w:w="992" w:type="dxa"/>
            <w:vMerge w:val="continue"/>
            <w:vAlign w:val="center"/>
          </w:tcPr>
          <w:p w14:paraId="52929BD5">
            <w:pPr>
              <w:widowControl/>
              <w:autoSpaceDE w:val="0"/>
              <w:autoSpaceDN w:val="0"/>
              <w:spacing w:line="280" w:lineRule="exact"/>
              <w:jc w:val="left"/>
              <w:rPr>
                <w:rFonts w:ascii="Times New Roman" w:hAnsi="Times New Roman" w:eastAsia="仿宋_GB2312"/>
                <w:color w:val="auto"/>
                <w:szCs w:val="21"/>
              </w:rPr>
            </w:pPr>
          </w:p>
        </w:tc>
        <w:tc>
          <w:tcPr>
            <w:tcW w:w="1139" w:type="dxa"/>
            <w:vMerge w:val="continue"/>
            <w:vAlign w:val="center"/>
          </w:tcPr>
          <w:p w14:paraId="72F3D844">
            <w:pPr>
              <w:autoSpaceDE w:val="0"/>
              <w:autoSpaceDN w:val="0"/>
              <w:spacing w:line="280" w:lineRule="exact"/>
              <w:jc w:val="center"/>
              <w:rPr>
                <w:rFonts w:ascii="Times New Roman" w:hAnsi="Times New Roman" w:eastAsia="仿宋_GB2312"/>
                <w:color w:val="auto"/>
                <w:szCs w:val="21"/>
              </w:rPr>
            </w:pPr>
          </w:p>
        </w:tc>
        <w:tc>
          <w:tcPr>
            <w:tcW w:w="1491" w:type="dxa"/>
            <w:vAlign w:val="center"/>
          </w:tcPr>
          <w:p w14:paraId="19A05CD9">
            <w:pPr>
              <w:widowControl/>
              <w:autoSpaceDE w:val="0"/>
              <w:autoSpaceDN w:val="0"/>
              <w:spacing w:line="280" w:lineRule="exact"/>
              <w:jc w:val="center"/>
              <w:rPr>
                <w:rFonts w:ascii="Times New Roman" w:hAnsi="Times New Roman" w:eastAsia="仿宋_GB2312"/>
                <w:color w:val="auto"/>
                <w:szCs w:val="21"/>
              </w:rPr>
            </w:pPr>
            <w:r>
              <w:rPr>
                <w:rFonts w:hint="eastAsia" w:ascii="Times New Roman" w:hAnsi="Times New Roman" w:eastAsia="仿宋_GB2312"/>
                <w:color w:val="auto"/>
                <w:szCs w:val="21"/>
              </w:rPr>
              <w:t>320217324000</w:t>
            </w:r>
          </w:p>
        </w:tc>
        <w:tc>
          <w:tcPr>
            <w:tcW w:w="1481" w:type="dxa"/>
            <w:vAlign w:val="center"/>
          </w:tcPr>
          <w:p w14:paraId="54A74A0E">
            <w:pPr>
              <w:widowControl/>
              <w:autoSpaceDE w:val="0"/>
              <w:autoSpaceDN w:val="0"/>
              <w:spacing w:line="280" w:lineRule="exact"/>
              <w:rPr>
                <w:rFonts w:ascii="Times New Roman" w:hAnsi="Times New Roman" w:eastAsia="仿宋_GB2312"/>
                <w:color w:val="auto"/>
                <w:szCs w:val="21"/>
              </w:rPr>
            </w:pPr>
            <w:r>
              <w:rPr>
                <w:rFonts w:hint="eastAsia" w:ascii="Times New Roman" w:hAnsi="Times New Roman" w:eastAsia="仿宋_GB2312"/>
                <w:color w:val="auto"/>
                <w:szCs w:val="21"/>
              </w:rPr>
              <w:t>对房地产开发企业委托没有资格的机构代理销售商品房的处罚</w:t>
            </w:r>
          </w:p>
        </w:tc>
        <w:tc>
          <w:tcPr>
            <w:tcW w:w="622" w:type="dxa"/>
            <w:vAlign w:val="center"/>
          </w:tcPr>
          <w:p w14:paraId="0DBE23CE">
            <w:pPr>
              <w:spacing w:line="280" w:lineRule="exact"/>
              <w:rPr>
                <w:rFonts w:ascii="Times New Roman" w:hAnsi="Times New Roman" w:eastAsia="仿宋_GB2312"/>
                <w:color w:val="auto"/>
                <w:kern w:val="0"/>
                <w:szCs w:val="21"/>
              </w:rPr>
            </w:pPr>
          </w:p>
        </w:tc>
      </w:tr>
      <w:tr w14:paraId="17CA00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44" w:hRule="atLeast"/>
          <w:jc w:val="center"/>
        </w:trPr>
        <w:tc>
          <w:tcPr>
            <w:tcW w:w="536" w:type="dxa"/>
            <w:vMerge w:val="continue"/>
            <w:vAlign w:val="center"/>
          </w:tcPr>
          <w:p w14:paraId="5309CE4C">
            <w:pPr>
              <w:widowControl/>
              <w:autoSpaceDE w:val="0"/>
              <w:autoSpaceDN w:val="0"/>
              <w:spacing w:line="280" w:lineRule="exact"/>
              <w:jc w:val="left"/>
              <w:rPr>
                <w:rFonts w:ascii="Times New Roman" w:hAnsi="Times New Roman" w:eastAsia="仿宋_GB2312"/>
                <w:color w:val="auto"/>
                <w:szCs w:val="21"/>
              </w:rPr>
            </w:pPr>
          </w:p>
        </w:tc>
        <w:tc>
          <w:tcPr>
            <w:tcW w:w="1324" w:type="dxa"/>
            <w:vMerge w:val="continue"/>
            <w:vAlign w:val="center"/>
          </w:tcPr>
          <w:p w14:paraId="31FDD8DE">
            <w:pPr>
              <w:widowControl/>
              <w:autoSpaceDE w:val="0"/>
              <w:autoSpaceDN w:val="0"/>
              <w:spacing w:line="280" w:lineRule="exact"/>
              <w:jc w:val="left"/>
              <w:rPr>
                <w:rFonts w:ascii="Times New Roman" w:hAnsi="Times New Roman" w:eastAsia="仿宋_GB2312"/>
                <w:color w:val="auto"/>
                <w:szCs w:val="21"/>
              </w:rPr>
            </w:pPr>
          </w:p>
        </w:tc>
        <w:tc>
          <w:tcPr>
            <w:tcW w:w="794" w:type="dxa"/>
            <w:vMerge w:val="continue"/>
            <w:vAlign w:val="center"/>
          </w:tcPr>
          <w:p w14:paraId="14E6BB20">
            <w:pPr>
              <w:widowControl/>
              <w:autoSpaceDE w:val="0"/>
              <w:autoSpaceDN w:val="0"/>
              <w:spacing w:line="280" w:lineRule="exact"/>
              <w:jc w:val="left"/>
              <w:rPr>
                <w:rFonts w:ascii="Times New Roman" w:hAnsi="Times New Roman" w:eastAsia="仿宋_GB2312"/>
                <w:color w:val="auto"/>
                <w:szCs w:val="21"/>
              </w:rPr>
            </w:pPr>
          </w:p>
        </w:tc>
        <w:tc>
          <w:tcPr>
            <w:tcW w:w="872" w:type="dxa"/>
            <w:vMerge w:val="continue"/>
            <w:vAlign w:val="center"/>
          </w:tcPr>
          <w:p w14:paraId="7875AFFB">
            <w:pPr>
              <w:widowControl/>
              <w:autoSpaceDE w:val="0"/>
              <w:autoSpaceDN w:val="0"/>
              <w:spacing w:line="280" w:lineRule="exact"/>
              <w:jc w:val="left"/>
              <w:rPr>
                <w:rFonts w:ascii="Times New Roman" w:hAnsi="Times New Roman" w:eastAsia="仿宋_GB2312"/>
                <w:color w:val="auto"/>
                <w:szCs w:val="21"/>
              </w:rPr>
            </w:pPr>
          </w:p>
        </w:tc>
        <w:tc>
          <w:tcPr>
            <w:tcW w:w="869" w:type="dxa"/>
            <w:vMerge w:val="continue"/>
            <w:vAlign w:val="center"/>
          </w:tcPr>
          <w:p w14:paraId="3DA92E9A">
            <w:pPr>
              <w:widowControl/>
              <w:autoSpaceDE w:val="0"/>
              <w:autoSpaceDN w:val="0"/>
              <w:spacing w:line="280" w:lineRule="exact"/>
              <w:jc w:val="left"/>
              <w:rPr>
                <w:rFonts w:ascii="Times New Roman" w:hAnsi="Times New Roman" w:eastAsia="仿宋_GB2312"/>
                <w:color w:val="auto"/>
                <w:szCs w:val="21"/>
              </w:rPr>
            </w:pPr>
          </w:p>
        </w:tc>
        <w:tc>
          <w:tcPr>
            <w:tcW w:w="4962" w:type="dxa"/>
            <w:vAlign w:val="center"/>
          </w:tcPr>
          <w:p w14:paraId="17063610">
            <w:pPr>
              <w:widowControl/>
              <w:autoSpaceDE w:val="0"/>
              <w:autoSpaceDN w:val="0"/>
              <w:spacing w:line="280" w:lineRule="exact"/>
              <w:jc w:val="left"/>
              <w:rPr>
                <w:rFonts w:ascii="Times New Roman" w:hAnsi="Times New Roman" w:eastAsia="仿宋_GB2312"/>
                <w:color w:val="auto"/>
                <w:szCs w:val="21"/>
              </w:rPr>
            </w:pPr>
            <w:r>
              <w:rPr>
                <w:rFonts w:hint="eastAsia" w:ascii="Times New Roman" w:hAnsi="Times New Roman" w:eastAsia="仿宋_GB2312"/>
                <w:color w:val="auto"/>
                <w:szCs w:val="21"/>
              </w:rPr>
              <w:t>【规章】《商品房销售管理办法》</w:t>
            </w:r>
          </w:p>
          <w:p w14:paraId="10782F6D">
            <w:pPr>
              <w:widowControl/>
              <w:autoSpaceDE w:val="0"/>
              <w:autoSpaceDN w:val="0"/>
              <w:spacing w:line="280" w:lineRule="exact"/>
              <w:jc w:val="left"/>
              <w:rPr>
                <w:rFonts w:ascii="Times New Roman" w:hAnsi="Times New Roman" w:eastAsia="仿宋_GB2312"/>
                <w:color w:val="auto"/>
                <w:szCs w:val="21"/>
              </w:rPr>
            </w:pPr>
            <w:r>
              <w:rPr>
                <w:rFonts w:hint="eastAsia" w:ascii="Times New Roman" w:hAnsi="Times New Roman" w:eastAsia="仿宋_GB2312"/>
                <w:color w:val="auto"/>
                <w:szCs w:val="21"/>
              </w:rPr>
              <w:t xml:space="preserve">    第二十三条　房地产开发企业应当在订立商品房买卖合同之前向买受人明示《商品房销售管理办法》和《商品房买卖合同示范文本》；预售商品房的，还必须明示《城市商品房预售管理办法》。</w:t>
            </w:r>
          </w:p>
          <w:p w14:paraId="66E2754F">
            <w:pPr>
              <w:widowControl/>
              <w:autoSpaceDE w:val="0"/>
              <w:autoSpaceDN w:val="0"/>
              <w:spacing w:line="280" w:lineRule="exact"/>
              <w:jc w:val="left"/>
              <w:rPr>
                <w:rFonts w:ascii="Times New Roman" w:hAnsi="Times New Roman" w:eastAsia="仿宋_GB2312"/>
                <w:color w:val="auto"/>
                <w:szCs w:val="21"/>
              </w:rPr>
            </w:pPr>
            <w:r>
              <w:rPr>
                <w:rFonts w:hint="eastAsia" w:ascii="Times New Roman" w:hAnsi="Times New Roman" w:eastAsia="仿宋_GB2312"/>
                <w:color w:val="auto"/>
                <w:szCs w:val="21"/>
              </w:rPr>
              <w:t xml:space="preserve">    第四十二条 房地产开发企业在销售商品房中有下列行为之一的，处以警告，责令限期改正，并可处以1万元以上3万元以下罚款。 </w:t>
            </w:r>
          </w:p>
          <w:p w14:paraId="0C9BDD55">
            <w:pPr>
              <w:widowControl/>
              <w:autoSpaceDE w:val="0"/>
              <w:autoSpaceDN w:val="0"/>
              <w:spacing w:line="280" w:lineRule="exact"/>
              <w:jc w:val="left"/>
              <w:rPr>
                <w:rFonts w:ascii="Times New Roman" w:hAnsi="Times New Roman" w:eastAsia="仿宋_GB2312"/>
                <w:color w:val="auto"/>
                <w:szCs w:val="21"/>
              </w:rPr>
            </w:pPr>
            <w:r>
              <w:rPr>
                <w:rFonts w:hint="eastAsia" w:ascii="Times New Roman" w:hAnsi="Times New Roman" w:eastAsia="仿宋_GB2312"/>
                <w:color w:val="auto"/>
                <w:szCs w:val="21"/>
              </w:rPr>
              <w:t xml:space="preserve">   （七）未按照规定向买受人明示《商品房销售管理办法》、《商品房买卖合同示范文本》、《城市商品房预售管理办法》的。</w:t>
            </w:r>
          </w:p>
        </w:tc>
        <w:tc>
          <w:tcPr>
            <w:tcW w:w="992" w:type="dxa"/>
            <w:vMerge w:val="continue"/>
            <w:vAlign w:val="center"/>
          </w:tcPr>
          <w:p w14:paraId="5823A29B">
            <w:pPr>
              <w:widowControl/>
              <w:autoSpaceDE w:val="0"/>
              <w:autoSpaceDN w:val="0"/>
              <w:spacing w:line="280" w:lineRule="exact"/>
              <w:jc w:val="left"/>
              <w:rPr>
                <w:rFonts w:ascii="Times New Roman" w:hAnsi="Times New Roman" w:eastAsia="仿宋_GB2312"/>
                <w:color w:val="auto"/>
                <w:szCs w:val="21"/>
              </w:rPr>
            </w:pPr>
          </w:p>
        </w:tc>
        <w:tc>
          <w:tcPr>
            <w:tcW w:w="1139" w:type="dxa"/>
            <w:vMerge w:val="continue"/>
            <w:vAlign w:val="center"/>
          </w:tcPr>
          <w:p w14:paraId="17ECEC6E">
            <w:pPr>
              <w:widowControl/>
              <w:autoSpaceDE w:val="0"/>
              <w:autoSpaceDN w:val="0"/>
              <w:spacing w:line="280" w:lineRule="exact"/>
              <w:jc w:val="center"/>
              <w:rPr>
                <w:rFonts w:ascii="Times New Roman" w:hAnsi="Times New Roman" w:eastAsia="仿宋_GB2312"/>
                <w:color w:val="auto"/>
                <w:szCs w:val="21"/>
              </w:rPr>
            </w:pPr>
          </w:p>
        </w:tc>
        <w:tc>
          <w:tcPr>
            <w:tcW w:w="1491" w:type="dxa"/>
            <w:vAlign w:val="center"/>
          </w:tcPr>
          <w:p w14:paraId="4AB23081">
            <w:pPr>
              <w:widowControl/>
              <w:autoSpaceDE w:val="0"/>
              <w:autoSpaceDN w:val="0"/>
              <w:spacing w:line="280" w:lineRule="exact"/>
              <w:jc w:val="center"/>
              <w:rPr>
                <w:rFonts w:ascii="Times New Roman" w:hAnsi="Times New Roman" w:eastAsia="仿宋_GB2312"/>
                <w:color w:val="auto"/>
                <w:szCs w:val="21"/>
              </w:rPr>
            </w:pPr>
          </w:p>
          <w:p w14:paraId="34207274">
            <w:pPr>
              <w:widowControl/>
              <w:autoSpaceDE w:val="0"/>
              <w:autoSpaceDN w:val="0"/>
              <w:spacing w:line="280" w:lineRule="exact"/>
              <w:jc w:val="center"/>
              <w:rPr>
                <w:rFonts w:ascii="Times New Roman" w:hAnsi="Times New Roman" w:eastAsia="仿宋_GB2312"/>
                <w:color w:val="auto"/>
                <w:szCs w:val="21"/>
              </w:rPr>
            </w:pPr>
            <w:r>
              <w:rPr>
                <w:rFonts w:hint="eastAsia" w:ascii="Times New Roman" w:hAnsi="Times New Roman" w:eastAsia="仿宋_GB2312"/>
                <w:color w:val="auto"/>
                <w:szCs w:val="21"/>
              </w:rPr>
              <w:t>320217323000</w:t>
            </w:r>
          </w:p>
        </w:tc>
        <w:tc>
          <w:tcPr>
            <w:tcW w:w="1481" w:type="dxa"/>
            <w:vAlign w:val="center"/>
          </w:tcPr>
          <w:p w14:paraId="198933E2">
            <w:pPr>
              <w:widowControl/>
              <w:autoSpaceDE w:val="0"/>
              <w:autoSpaceDN w:val="0"/>
              <w:spacing w:line="280" w:lineRule="exact"/>
              <w:rPr>
                <w:rFonts w:ascii="Times New Roman" w:hAnsi="Times New Roman" w:eastAsia="仿宋_GB2312"/>
                <w:color w:val="auto"/>
                <w:szCs w:val="21"/>
              </w:rPr>
            </w:pPr>
            <w:r>
              <w:rPr>
                <w:rFonts w:hint="eastAsia" w:ascii="Times New Roman" w:hAnsi="Times New Roman" w:eastAsia="仿宋_GB2312"/>
                <w:color w:val="auto"/>
                <w:szCs w:val="21"/>
              </w:rPr>
              <w:t>对房地产开发企业未按照规定向买受人明示《商品房销售管理办法》、《商品房买卖合同示范文本》、《城市商品房预售管理办法》的处罚</w:t>
            </w:r>
          </w:p>
        </w:tc>
        <w:tc>
          <w:tcPr>
            <w:tcW w:w="622" w:type="dxa"/>
            <w:vAlign w:val="center"/>
          </w:tcPr>
          <w:p w14:paraId="4C4E80BE">
            <w:pPr>
              <w:spacing w:line="280" w:lineRule="exact"/>
              <w:rPr>
                <w:rFonts w:ascii="Times New Roman" w:hAnsi="Times New Roman" w:eastAsia="仿宋_GB2312"/>
                <w:color w:val="auto"/>
                <w:kern w:val="0"/>
                <w:szCs w:val="21"/>
              </w:rPr>
            </w:pPr>
          </w:p>
        </w:tc>
      </w:tr>
      <w:tr w14:paraId="4F177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0" w:hRule="atLeast"/>
          <w:jc w:val="center"/>
        </w:trPr>
        <w:tc>
          <w:tcPr>
            <w:tcW w:w="536" w:type="dxa"/>
            <w:vAlign w:val="center"/>
          </w:tcPr>
          <w:p w14:paraId="24BC41ED">
            <w:pPr>
              <w:autoSpaceDE w:val="0"/>
              <w:autoSpaceDN w:val="0"/>
              <w:spacing w:line="280" w:lineRule="exact"/>
              <w:jc w:val="center"/>
              <w:rPr>
                <w:rFonts w:ascii="Times New Roman" w:hAnsi="Times New Roman" w:eastAsia="仿宋_GB2312"/>
                <w:color w:val="auto"/>
                <w:szCs w:val="21"/>
              </w:rPr>
            </w:pPr>
            <w:r>
              <w:rPr>
                <w:rFonts w:hint="eastAsia" w:ascii="Times New Roman" w:hAnsi="Times New Roman" w:eastAsia="仿宋_GB2312"/>
                <w:color w:val="auto"/>
                <w:szCs w:val="21"/>
              </w:rPr>
              <w:t>1</w:t>
            </w:r>
          </w:p>
        </w:tc>
        <w:tc>
          <w:tcPr>
            <w:tcW w:w="1324" w:type="dxa"/>
            <w:vAlign w:val="center"/>
          </w:tcPr>
          <w:p w14:paraId="45E19F8B">
            <w:pPr>
              <w:widowControl/>
              <w:autoSpaceDE w:val="0"/>
              <w:autoSpaceDN w:val="0"/>
              <w:spacing w:line="280" w:lineRule="exact"/>
              <w:rPr>
                <w:rFonts w:ascii="Times New Roman" w:hAnsi="Times New Roman" w:eastAsia="仿宋_GB2312"/>
                <w:color w:val="auto"/>
                <w:szCs w:val="21"/>
              </w:rPr>
            </w:pPr>
            <w:r>
              <w:rPr>
                <w:rFonts w:hint="eastAsia" w:ascii="Times New Roman" w:hAnsi="Times New Roman" w:eastAsia="仿宋_GB2312"/>
                <w:color w:val="auto"/>
                <w:szCs w:val="21"/>
              </w:rPr>
              <w:t>对房地产开发企业从事房地产开发经营活动的检查</w:t>
            </w:r>
          </w:p>
          <w:p w14:paraId="6FCB34F1">
            <w:pPr>
              <w:autoSpaceDE w:val="0"/>
              <w:autoSpaceDN w:val="0"/>
              <w:spacing w:line="280" w:lineRule="exact"/>
              <w:rPr>
                <w:rFonts w:ascii="Times New Roman" w:hAnsi="Times New Roman" w:eastAsia="仿宋_GB2312"/>
                <w:color w:val="auto"/>
                <w:szCs w:val="21"/>
              </w:rPr>
            </w:pPr>
          </w:p>
        </w:tc>
        <w:tc>
          <w:tcPr>
            <w:tcW w:w="794" w:type="dxa"/>
            <w:vAlign w:val="center"/>
          </w:tcPr>
          <w:p w14:paraId="1B2E0ECF">
            <w:pPr>
              <w:autoSpaceDE w:val="0"/>
              <w:autoSpaceDN w:val="0"/>
              <w:spacing w:line="280" w:lineRule="exact"/>
              <w:jc w:val="center"/>
              <w:rPr>
                <w:rFonts w:ascii="Times New Roman" w:hAnsi="Times New Roman" w:eastAsia="仿宋_GB2312"/>
                <w:color w:val="auto"/>
                <w:szCs w:val="21"/>
              </w:rPr>
            </w:pPr>
            <w:r>
              <w:rPr>
                <w:rFonts w:hint="eastAsia" w:ascii="Times New Roman" w:hAnsi="Times New Roman" w:eastAsia="仿宋_GB2312" w:cs="宋体"/>
                <w:color w:val="auto"/>
                <w:szCs w:val="21"/>
              </w:rPr>
              <w:t>苏州市相城区住房和城乡建设局</w:t>
            </w:r>
          </w:p>
        </w:tc>
        <w:tc>
          <w:tcPr>
            <w:tcW w:w="872" w:type="dxa"/>
            <w:vAlign w:val="center"/>
          </w:tcPr>
          <w:p w14:paraId="0A959382">
            <w:pPr>
              <w:autoSpaceDE w:val="0"/>
              <w:autoSpaceDN w:val="0"/>
              <w:spacing w:line="280" w:lineRule="exact"/>
              <w:rPr>
                <w:rFonts w:ascii="Times New Roman" w:hAnsi="Times New Roman" w:eastAsia="仿宋_GB2312"/>
                <w:color w:val="auto"/>
                <w:szCs w:val="21"/>
              </w:rPr>
            </w:pPr>
            <w:r>
              <w:rPr>
                <w:rFonts w:hint="eastAsia" w:ascii="Times New Roman" w:hAnsi="Times New Roman" w:eastAsia="仿宋_GB2312"/>
                <w:color w:val="auto"/>
                <w:szCs w:val="21"/>
              </w:rPr>
              <w:t>房地产市场监管科</w:t>
            </w:r>
          </w:p>
        </w:tc>
        <w:tc>
          <w:tcPr>
            <w:tcW w:w="869" w:type="dxa"/>
            <w:vAlign w:val="center"/>
          </w:tcPr>
          <w:p w14:paraId="725253EE">
            <w:pPr>
              <w:autoSpaceDE w:val="0"/>
              <w:autoSpaceDN w:val="0"/>
              <w:spacing w:line="280" w:lineRule="exact"/>
              <w:jc w:val="center"/>
              <w:rPr>
                <w:rFonts w:ascii="Times New Roman" w:hAnsi="Times New Roman" w:eastAsia="仿宋_GB2312"/>
                <w:color w:val="auto"/>
                <w:szCs w:val="21"/>
              </w:rPr>
            </w:pPr>
            <w:r>
              <w:rPr>
                <w:rFonts w:hint="eastAsia" w:ascii="Times New Roman" w:hAnsi="Times New Roman" w:eastAsia="仿宋_GB2312"/>
                <w:color w:val="auto"/>
                <w:szCs w:val="21"/>
              </w:rPr>
              <w:t>开发</w:t>
            </w:r>
          </w:p>
          <w:p w14:paraId="3ED0F063">
            <w:pPr>
              <w:autoSpaceDE w:val="0"/>
              <w:autoSpaceDN w:val="0"/>
              <w:spacing w:line="280" w:lineRule="exact"/>
              <w:jc w:val="center"/>
              <w:rPr>
                <w:rFonts w:ascii="Times New Roman" w:hAnsi="Times New Roman" w:eastAsia="仿宋_GB2312"/>
                <w:color w:val="auto"/>
                <w:szCs w:val="21"/>
              </w:rPr>
            </w:pPr>
            <w:r>
              <w:rPr>
                <w:rFonts w:hint="eastAsia" w:ascii="Times New Roman" w:hAnsi="Times New Roman" w:eastAsia="仿宋_GB2312"/>
                <w:color w:val="auto"/>
                <w:szCs w:val="21"/>
              </w:rPr>
              <w:t>企业</w:t>
            </w:r>
          </w:p>
        </w:tc>
        <w:tc>
          <w:tcPr>
            <w:tcW w:w="4962" w:type="dxa"/>
            <w:vAlign w:val="center"/>
          </w:tcPr>
          <w:p w14:paraId="1B2AE449">
            <w:pPr>
              <w:widowControl/>
              <w:autoSpaceDE w:val="0"/>
              <w:autoSpaceDN w:val="0"/>
              <w:spacing w:line="280" w:lineRule="exact"/>
              <w:jc w:val="left"/>
              <w:rPr>
                <w:rFonts w:ascii="Times New Roman" w:hAnsi="Times New Roman" w:eastAsia="仿宋_GB2312"/>
                <w:color w:val="auto"/>
                <w:szCs w:val="21"/>
              </w:rPr>
            </w:pPr>
            <w:r>
              <w:rPr>
                <w:rFonts w:hint="eastAsia" w:ascii="Times New Roman" w:hAnsi="Times New Roman" w:eastAsia="仿宋_GB2312"/>
                <w:color w:val="auto"/>
                <w:szCs w:val="21"/>
              </w:rPr>
              <w:t>【规章】《商品房销售管理办法》</w:t>
            </w:r>
          </w:p>
          <w:p w14:paraId="0426DEFB">
            <w:pPr>
              <w:widowControl/>
              <w:autoSpaceDE w:val="0"/>
              <w:autoSpaceDN w:val="0"/>
              <w:spacing w:line="280" w:lineRule="exact"/>
              <w:jc w:val="left"/>
              <w:rPr>
                <w:rFonts w:ascii="Times New Roman" w:hAnsi="Times New Roman" w:eastAsia="仿宋_GB2312"/>
                <w:color w:val="auto"/>
                <w:szCs w:val="21"/>
              </w:rPr>
            </w:pPr>
            <w:r>
              <w:rPr>
                <w:rFonts w:hint="eastAsia" w:ascii="Times New Roman" w:hAnsi="Times New Roman" w:eastAsia="仿宋_GB2312"/>
                <w:color w:val="auto"/>
                <w:szCs w:val="21"/>
              </w:rPr>
              <w:t xml:space="preserve">第七条　商品房现售,应当符合以下条件： </w:t>
            </w:r>
          </w:p>
          <w:p w14:paraId="1CE045C2">
            <w:pPr>
              <w:widowControl/>
              <w:autoSpaceDE w:val="0"/>
              <w:autoSpaceDN w:val="0"/>
              <w:spacing w:line="280" w:lineRule="exact"/>
              <w:jc w:val="left"/>
              <w:rPr>
                <w:rFonts w:ascii="Times New Roman" w:hAnsi="Times New Roman" w:eastAsia="仿宋_GB2312"/>
                <w:color w:val="auto"/>
                <w:szCs w:val="21"/>
              </w:rPr>
            </w:pPr>
            <w:r>
              <w:rPr>
                <w:rFonts w:hint="eastAsia" w:ascii="Times New Roman" w:hAnsi="Times New Roman" w:eastAsia="仿宋_GB2312"/>
                <w:color w:val="auto"/>
                <w:szCs w:val="21"/>
              </w:rPr>
              <w:t xml:space="preserve">（一）现售商品房的房地产开发企业应当具有企业法人营业执照和房地产开发企业资质证书； </w:t>
            </w:r>
            <w:r>
              <w:rPr>
                <w:rFonts w:hint="eastAsia" w:ascii="Times New Roman" w:hAnsi="Times New Roman" w:eastAsia="仿宋_GB2312"/>
                <w:color w:val="auto"/>
                <w:szCs w:val="21"/>
              </w:rPr>
              <w:cr/>
            </w:r>
            <w:r>
              <w:rPr>
                <w:rFonts w:hint="eastAsia" w:ascii="Times New Roman" w:hAnsi="Times New Roman" w:eastAsia="仿宋_GB2312"/>
                <w:color w:val="auto"/>
                <w:szCs w:val="21"/>
              </w:rPr>
              <w:t xml:space="preserve">（二）取得土地使用权证书或者使用土地的批准文件； </w:t>
            </w:r>
            <w:r>
              <w:rPr>
                <w:rFonts w:hint="eastAsia" w:ascii="Times New Roman" w:hAnsi="Times New Roman" w:eastAsia="仿宋_GB2312"/>
                <w:color w:val="auto"/>
                <w:szCs w:val="21"/>
              </w:rPr>
              <w:cr/>
            </w:r>
            <w:r>
              <w:rPr>
                <w:rFonts w:hint="eastAsia" w:ascii="Times New Roman" w:hAnsi="Times New Roman" w:eastAsia="仿宋_GB2312"/>
                <w:color w:val="auto"/>
                <w:szCs w:val="21"/>
              </w:rPr>
              <w:t xml:space="preserve">（三）持有建设工程规划许可证和施工许可证； </w:t>
            </w:r>
            <w:r>
              <w:rPr>
                <w:rFonts w:hint="eastAsia" w:ascii="Times New Roman" w:hAnsi="Times New Roman" w:eastAsia="仿宋_GB2312"/>
                <w:color w:val="auto"/>
                <w:szCs w:val="21"/>
              </w:rPr>
              <w:cr/>
            </w:r>
            <w:r>
              <w:rPr>
                <w:rFonts w:hint="eastAsia" w:ascii="Times New Roman" w:hAnsi="Times New Roman" w:eastAsia="仿宋_GB2312"/>
                <w:color w:val="auto"/>
                <w:szCs w:val="21"/>
              </w:rPr>
              <w:t xml:space="preserve">（四）已通过竣工验收； </w:t>
            </w:r>
            <w:r>
              <w:rPr>
                <w:rFonts w:hint="eastAsia" w:ascii="Times New Roman" w:hAnsi="Times New Roman" w:eastAsia="仿宋_GB2312"/>
                <w:color w:val="auto"/>
                <w:szCs w:val="21"/>
              </w:rPr>
              <w:cr/>
            </w:r>
            <w:r>
              <w:rPr>
                <w:rFonts w:hint="eastAsia" w:ascii="Times New Roman" w:hAnsi="Times New Roman" w:eastAsia="仿宋_GB2312"/>
                <w:color w:val="auto"/>
                <w:szCs w:val="21"/>
              </w:rPr>
              <w:t xml:space="preserve">（五）拆迁安置已经落实； </w:t>
            </w:r>
            <w:r>
              <w:rPr>
                <w:rFonts w:hint="eastAsia" w:ascii="Times New Roman" w:hAnsi="Times New Roman" w:eastAsia="仿宋_GB2312"/>
                <w:color w:val="auto"/>
                <w:szCs w:val="21"/>
              </w:rPr>
              <w:cr/>
            </w:r>
            <w:r>
              <w:rPr>
                <w:rFonts w:hint="eastAsia" w:ascii="Times New Roman" w:hAnsi="Times New Roman" w:eastAsia="仿宋_GB2312"/>
                <w:color w:val="auto"/>
                <w:szCs w:val="21"/>
              </w:rPr>
              <w:t xml:space="preserve">（六）供水、供电、供热、燃气、通讯等配套基础设施具备交付使用条件，其他配套基础设施和公共设施具备交付使用条件或者已确定施工进度和交付日期； </w:t>
            </w:r>
            <w:r>
              <w:rPr>
                <w:rFonts w:hint="eastAsia" w:ascii="Times New Roman" w:hAnsi="Times New Roman" w:eastAsia="仿宋_GB2312"/>
                <w:color w:val="auto"/>
                <w:szCs w:val="21"/>
              </w:rPr>
              <w:cr/>
            </w:r>
            <w:r>
              <w:rPr>
                <w:rFonts w:hint="eastAsia" w:ascii="Times New Roman" w:hAnsi="Times New Roman" w:eastAsia="仿宋_GB2312"/>
                <w:color w:val="auto"/>
                <w:szCs w:val="21"/>
              </w:rPr>
              <w:t>（七）物业管理方案已经落实。</w:t>
            </w:r>
            <w:r>
              <w:rPr>
                <w:rFonts w:hint="eastAsia" w:ascii="Times New Roman" w:hAnsi="Times New Roman" w:eastAsia="仿宋_GB2312"/>
                <w:color w:val="auto"/>
                <w:szCs w:val="21"/>
              </w:rPr>
              <w:cr/>
            </w:r>
            <w:r>
              <w:rPr>
                <w:rFonts w:hint="eastAsia" w:ascii="Times New Roman" w:hAnsi="Times New Roman" w:eastAsia="仿宋_GB2312"/>
                <w:color w:val="auto"/>
                <w:szCs w:val="21"/>
              </w:rPr>
              <w:t xml:space="preserve">第四十二条　房地产开发企业在销售商品房中有下列行为之一的，处以警告，责令限期改正，并可处以1万元以上3万元以下罚款。 </w:t>
            </w:r>
          </w:p>
          <w:p w14:paraId="6652E7C6">
            <w:pPr>
              <w:widowControl/>
              <w:autoSpaceDE w:val="0"/>
              <w:autoSpaceDN w:val="0"/>
              <w:spacing w:line="280" w:lineRule="exact"/>
              <w:jc w:val="left"/>
              <w:rPr>
                <w:rFonts w:ascii="Times New Roman" w:hAnsi="Times New Roman" w:eastAsia="仿宋_GB2312"/>
                <w:color w:val="auto"/>
                <w:szCs w:val="21"/>
              </w:rPr>
            </w:pPr>
            <w:r>
              <w:rPr>
                <w:rFonts w:hint="eastAsia" w:ascii="Times New Roman" w:hAnsi="Times New Roman" w:eastAsia="仿宋_GB2312"/>
                <w:color w:val="auto"/>
                <w:szCs w:val="21"/>
              </w:rPr>
              <w:t>（一）未按照规定的现售条件现售商品房的。</w:t>
            </w:r>
          </w:p>
        </w:tc>
        <w:tc>
          <w:tcPr>
            <w:tcW w:w="992" w:type="dxa"/>
            <w:vAlign w:val="center"/>
          </w:tcPr>
          <w:p w14:paraId="2DA954C8">
            <w:pPr>
              <w:widowControl/>
              <w:autoSpaceDE w:val="0"/>
              <w:autoSpaceDN w:val="0"/>
              <w:spacing w:line="280" w:lineRule="exact"/>
              <w:jc w:val="center"/>
              <w:rPr>
                <w:rFonts w:ascii="Times New Roman" w:hAnsi="Times New Roman" w:eastAsia="仿宋_GB2312"/>
                <w:color w:val="auto"/>
                <w:szCs w:val="21"/>
              </w:rPr>
            </w:pPr>
            <w:r>
              <w:rPr>
                <w:rFonts w:hint="eastAsia" w:ascii="Times New Roman" w:hAnsi="Times New Roman" w:eastAsia="仿宋_GB2312"/>
                <w:color w:val="auto"/>
                <w:szCs w:val="21"/>
              </w:rPr>
              <w:t>现场</w:t>
            </w:r>
          </w:p>
          <w:p w14:paraId="7332B811">
            <w:pPr>
              <w:widowControl/>
              <w:autoSpaceDE w:val="0"/>
              <w:autoSpaceDN w:val="0"/>
              <w:spacing w:line="280" w:lineRule="exact"/>
              <w:jc w:val="center"/>
              <w:rPr>
                <w:rFonts w:ascii="Times New Roman" w:hAnsi="Times New Roman" w:eastAsia="仿宋_GB2312"/>
                <w:color w:val="auto"/>
                <w:szCs w:val="21"/>
              </w:rPr>
            </w:pPr>
            <w:r>
              <w:rPr>
                <w:rFonts w:hint="eastAsia" w:ascii="Times New Roman" w:hAnsi="Times New Roman" w:eastAsia="仿宋_GB2312"/>
                <w:color w:val="auto"/>
                <w:szCs w:val="21"/>
              </w:rPr>
              <w:t>检查</w:t>
            </w:r>
          </w:p>
        </w:tc>
        <w:tc>
          <w:tcPr>
            <w:tcW w:w="1139" w:type="dxa"/>
            <w:vAlign w:val="center"/>
          </w:tcPr>
          <w:p w14:paraId="21997F8A">
            <w:pPr>
              <w:widowControl/>
              <w:autoSpaceDE w:val="0"/>
              <w:autoSpaceDN w:val="0"/>
              <w:spacing w:line="280" w:lineRule="exact"/>
              <w:jc w:val="center"/>
              <w:rPr>
                <w:rFonts w:ascii="Times New Roman" w:hAnsi="Times New Roman" w:eastAsia="仿宋_GB2312"/>
                <w:color w:val="auto"/>
                <w:szCs w:val="21"/>
              </w:rPr>
            </w:pPr>
            <w:r>
              <w:rPr>
                <w:rFonts w:hint="eastAsia" w:ascii="Times New Roman" w:hAnsi="Times New Roman" w:eastAsia="仿宋_GB2312"/>
                <w:color w:val="auto"/>
                <w:szCs w:val="21"/>
              </w:rPr>
              <w:t>全年</w:t>
            </w:r>
          </w:p>
        </w:tc>
        <w:tc>
          <w:tcPr>
            <w:tcW w:w="1491" w:type="dxa"/>
            <w:vAlign w:val="center"/>
          </w:tcPr>
          <w:p w14:paraId="62E18186">
            <w:pPr>
              <w:widowControl/>
              <w:autoSpaceDE w:val="0"/>
              <w:autoSpaceDN w:val="0"/>
              <w:spacing w:line="280" w:lineRule="exact"/>
              <w:jc w:val="center"/>
              <w:rPr>
                <w:rFonts w:ascii="Times New Roman" w:hAnsi="Times New Roman" w:eastAsia="仿宋_GB2312"/>
                <w:color w:val="auto"/>
                <w:szCs w:val="21"/>
              </w:rPr>
            </w:pPr>
            <w:r>
              <w:rPr>
                <w:rFonts w:hint="eastAsia" w:ascii="Times New Roman" w:hAnsi="Times New Roman" w:eastAsia="仿宋_GB2312"/>
                <w:color w:val="auto"/>
                <w:szCs w:val="21"/>
              </w:rPr>
              <w:t>320217223000</w:t>
            </w:r>
          </w:p>
        </w:tc>
        <w:tc>
          <w:tcPr>
            <w:tcW w:w="1481" w:type="dxa"/>
            <w:vAlign w:val="center"/>
          </w:tcPr>
          <w:p w14:paraId="2C661CE6">
            <w:pPr>
              <w:widowControl/>
              <w:autoSpaceDE w:val="0"/>
              <w:autoSpaceDN w:val="0"/>
              <w:spacing w:line="280" w:lineRule="exact"/>
              <w:rPr>
                <w:rFonts w:ascii="Times New Roman" w:hAnsi="Times New Roman" w:eastAsia="仿宋_GB2312"/>
                <w:color w:val="auto"/>
                <w:szCs w:val="21"/>
              </w:rPr>
            </w:pPr>
            <w:r>
              <w:rPr>
                <w:rFonts w:hint="eastAsia" w:ascii="Times New Roman" w:hAnsi="Times New Roman" w:eastAsia="仿宋_GB2312"/>
                <w:color w:val="auto"/>
                <w:szCs w:val="21"/>
              </w:rPr>
              <w:t>对房地产开发企业未按照规定的现售条件现售商品房的处罚</w:t>
            </w:r>
          </w:p>
        </w:tc>
        <w:tc>
          <w:tcPr>
            <w:tcW w:w="622" w:type="dxa"/>
            <w:vAlign w:val="center"/>
          </w:tcPr>
          <w:p w14:paraId="381BBD48">
            <w:pPr>
              <w:spacing w:line="280" w:lineRule="exact"/>
              <w:jc w:val="center"/>
              <w:rPr>
                <w:rFonts w:ascii="Times New Roman" w:hAnsi="Times New Roman" w:eastAsia="仿宋_GB2312"/>
                <w:color w:val="auto"/>
                <w:kern w:val="0"/>
                <w:szCs w:val="21"/>
              </w:rPr>
            </w:pPr>
          </w:p>
        </w:tc>
      </w:tr>
      <w:tr w14:paraId="366BC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0" w:hRule="atLeast"/>
          <w:jc w:val="center"/>
        </w:trPr>
        <w:tc>
          <w:tcPr>
            <w:tcW w:w="536" w:type="dxa"/>
            <w:vMerge w:val="restart"/>
            <w:vAlign w:val="center"/>
          </w:tcPr>
          <w:p w14:paraId="0F38BCE3">
            <w:pPr>
              <w:autoSpaceDE w:val="0"/>
              <w:autoSpaceDN w:val="0"/>
              <w:spacing w:line="280" w:lineRule="exact"/>
              <w:jc w:val="center"/>
              <w:rPr>
                <w:rFonts w:ascii="Times New Roman" w:hAnsi="Times New Roman" w:eastAsia="仿宋_GB2312"/>
                <w:color w:val="auto"/>
                <w:szCs w:val="21"/>
              </w:rPr>
            </w:pPr>
            <w:r>
              <w:rPr>
                <w:rFonts w:hint="eastAsia" w:ascii="Times New Roman" w:hAnsi="Times New Roman" w:eastAsia="仿宋_GB2312"/>
                <w:color w:val="auto"/>
                <w:szCs w:val="21"/>
              </w:rPr>
              <w:t>1</w:t>
            </w:r>
          </w:p>
        </w:tc>
        <w:tc>
          <w:tcPr>
            <w:tcW w:w="1324" w:type="dxa"/>
            <w:vMerge w:val="restart"/>
            <w:vAlign w:val="center"/>
          </w:tcPr>
          <w:p w14:paraId="63F12A1B">
            <w:pPr>
              <w:widowControl/>
              <w:autoSpaceDE w:val="0"/>
              <w:autoSpaceDN w:val="0"/>
              <w:spacing w:line="280" w:lineRule="exact"/>
              <w:rPr>
                <w:rFonts w:ascii="Times New Roman" w:hAnsi="Times New Roman" w:eastAsia="仿宋_GB2312"/>
                <w:color w:val="auto"/>
                <w:szCs w:val="21"/>
              </w:rPr>
            </w:pPr>
            <w:r>
              <w:rPr>
                <w:rFonts w:hint="eastAsia" w:ascii="Times New Roman" w:hAnsi="Times New Roman" w:eastAsia="仿宋_GB2312"/>
                <w:color w:val="auto"/>
                <w:szCs w:val="21"/>
              </w:rPr>
              <w:t>对房地产开发企业从事房地产开发经营活动的检查</w:t>
            </w:r>
          </w:p>
          <w:p w14:paraId="0216511F">
            <w:pPr>
              <w:autoSpaceDE w:val="0"/>
              <w:autoSpaceDN w:val="0"/>
              <w:spacing w:line="280" w:lineRule="exact"/>
              <w:rPr>
                <w:rFonts w:ascii="Times New Roman" w:hAnsi="Times New Roman" w:eastAsia="仿宋_GB2312"/>
                <w:color w:val="auto"/>
                <w:szCs w:val="21"/>
              </w:rPr>
            </w:pPr>
          </w:p>
        </w:tc>
        <w:tc>
          <w:tcPr>
            <w:tcW w:w="794" w:type="dxa"/>
            <w:vMerge w:val="restart"/>
            <w:vAlign w:val="center"/>
          </w:tcPr>
          <w:p w14:paraId="0433D0FB">
            <w:pPr>
              <w:autoSpaceDE w:val="0"/>
              <w:autoSpaceDN w:val="0"/>
              <w:spacing w:line="280" w:lineRule="exact"/>
              <w:jc w:val="center"/>
              <w:rPr>
                <w:rFonts w:ascii="Times New Roman" w:hAnsi="Times New Roman" w:eastAsia="仿宋_GB2312"/>
                <w:color w:val="auto"/>
                <w:szCs w:val="21"/>
              </w:rPr>
            </w:pPr>
            <w:r>
              <w:rPr>
                <w:rFonts w:hint="eastAsia" w:ascii="Times New Roman" w:hAnsi="Times New Roman" w:eastAsia="仿宋_GB2312" w:cs="宋体"/>
                <w:color w:val="auto"/>
                <w:szCs w:val="21"/>
              </w:rPr>
              <w:t>苏州市相城区住房和城乡建设局</w:t>
            </w:r>
          </w:p>
        </w:tc>
        <w:tc>
          <w:tcPr>
            <w:tcW w:w="872" w:type="dxa"/>
            <w:vMerge w:val="restart"/>
            <w:vAlign w:val="center"/>
          </w:tcPr>
          <w:p w14:paraId="5AF435FF">
            <w:pPr>
              <w:autoSpaceDE w:val="0"/>
              <w:autoSpaceDN w:val="0"/>
              <w:spacing w:line="280" w:lineRule="exact"/>
              <w:rPr>
                <w:rFonts w:ascii="Times New Roman" w:hAnsi="Times New Roman" w:eastAsia="仿宋_GB2312"/>
                <w:color w:val="auto"/>
                <w:szCs w:val="21"/>
              </w:rPr>
            </w:pPr>
            <w:r>
              <w:rPr>
                <w:rFonts w:hint="eastAsia" w:ascii="Times New Roman" w:hAnsi="Times New Roman" w:eastAsia="仿宋_GB2312"/>
                <w:color w:val="auto"/>
                <w:szCs w:val="21"/>
              </w:rPr>
              <w:t>房地产市场监管科</w:t>
            </w:r>
          </w:p>
        </w:tc>
        <w:tc>
          <w:tcPr>
            <w:tcW w:w="869" w:type="dxa"/>
            <w:vMerge w:val="restart"/>
            <w:vAlign w:val="center"/>
          </w:tcPr>
          <w:p w14:paraId="1D755D98">
            <w:pPr>
              <w:autoSpaceDE w:val="0"/>
              <w:autoSpaceDN w:val="0"/>
              <w:spacing w:line="280" w:lineRule="exact"/>
              <w:jc w:val="center"/>
              <w:rPr>
                <w:rFonts w:ascii="Times New Roman" w:hAnsi="Times New Roman" w:eastAsia="仿宋_GB2312"/>
                <w:color w:val="auto"/>
                <w:szCs w:val="21"/>
              </w:rPr>
            </w:pPr>
            <w:r>
              <w:rPr>
                <w:rFonts w:hint="eastAsia" w:ascii="Times New Roman" w:hAnsi="Times New Roman" w:eastAsia="仿宋_GB2312"/>
                <w:color w:val="auto"/>
                <w:szCs w:val="21"/>
              </w:rPr>
              <w:t>开发</w:t>
            </w:r>
          </w:p>
          <w:p w14:paraId="1D5D90B2">
            <w:pPr>
              <w:autoSpaceDE w:val="0"/>
              <w:autoSpaceDN w:val="0"/>
              <w:spacing w:line="280" w:lineRule="exact"/>
              <w:jc w:val="center"/>
              <w:rPr>
                <w:rFonts w:ascii="Times New Roman" w:hAnsi="Times New Roman" w:eastAsia="仿宋_GB2312"/>
                <w:color w:val="auto"/>
                <w:szCs w:val="21"/>
              </w:rPr>
            </w:pPr>
            <w:r>
              <w:rPr>
                <w:rFonts w:hint="eastAsia" w:ascii="Times New Roman" w:hAnsi="Times New Roman" w:eastAsia="仿宋_GB2312"/>
                <w:color w:val="auto"/>
                <w:szCs w:val="21"/>
              </w:rPr>
              <w:t>企业</w:t>
            </w:r>
          </w:p>
        </w:tc>
        <w:tc>
          <w:tcPr>
            <w:tcW w:w="4962" w:type="dxa"/>
            <w:vAlign w:val="center"/>
          </w:tcPr>
          <w:p w14:paraId="281D9A05">
            <w:pPr>
              <w:widowControl/>
              <w:autoSpaceDE w:val="0"/>
              <w:autoSpaceDN w:val="0"/>
              <w:spacing w:line="280" w:lineRule="exact"/>
              <w:jc w:val="left"/>
              <w:rPr>
                <w:rFonts w:ascii="Times New Roman" w:hAnsi="Times New Roman" w:eastAsia="仿宋_GB2312"/>
                <w:color w:val="auto"/>
                <w:szCs w:val="21"/>
              </w:rPr>
            </w:pPr>
            <w:r>
              <w:rPr>
                <w:rFonts w:hint="eastAsia" w:ascii="Times New Roman" w:hAnsi="Times New Roman" w:eastAsia="仿宋_GB2312"/>
                <w:color w:val="auto"/>
                <w:szCs w:val="21"/>
              </w:rPr>
              <w:t>【行政法规】《民用建筑节能条例》</w:t>
            </w:r>
          </w:p>
          <w:p w14:paraId="4428DD83">
            <w:pPr>
              <w:widowControl/>
              <w:autoSpaceDE w:val="0"/>
              <w:autoSpaceDN w:val="0"/>
              <w:spacing w:line="280" w:lineRule="exact"/>
              <w:jc w:val="left"/>
              <w:rPr>
                <w:rFonts w:ascii="Times New Roman" w:hAnsi="Times New Roman" w:eastAsia="仿宋_GB2312"/>
                <w:color w:val="auto"/>
                <w:szCs w:val="21"/>
              </w:rPr>
            </w:pPr>
            <w:r>
              <w:rPr>
                <w:rFonts w:hint="eastAsia" w:ascii="Times New Roman" w:hAnsi="Times New Roman" w:eastAsia="仿宋_GB2312"/>
                <w:color w:val="auto"/>
                <w:szCs w:val="21"/>
              </w:rPr>
              <w:t xml:space="preserve">    第二十二条　房地产开发企业销售商品房，应当向购买人明示所售商品房的能源消耗指标、节能措施和保护要求、保温工程保修期等信息，并在商品房买卖合同和住宅质量保证书、住宅使用说明书中载明。</w:t>
            </w:r>
          </w:p>
          <w:p w14:paraId="58B50A63">
            <w:pPr>
              <w:widowControl/>
              <w:autoSpaceDE w:val="0"/>
              <w:autoSpaceDN w:val="0"/>
              <w:spacing w:line="280" w:lineRule="exact"/>
              <w:jc w:val="left"/>
              <w:rPr>
                <w:rFonts w:ascii="Times New Roman" w:hAnsi="Times New Roman" w:eastAsia="仿宋_GB2312"/>
                <w:color w:val="auto"/>
                <w:szCs w:val="21"/>
              </w:rPr>
            </w:pPr>
            <w:r>
              <w:rPr>
                <w:rFonts w:hint="eastAsia" w:ascii="Times New Roman" w:hAnsi="Times New Roman" w:eastAsia="仿宋_GB2312"/>
                <w:color w:val="auto"/>
                <w:szCs w:val="21"/>
              </w:rPr>
              <w:t xml:space="preserve">    第四十三条　违反本条例规定，房地产开发企业销售商品房，未向购买人明示所售商品房的能源消耗指标、节能措施和保护要求、保温工程保修期等信息，或者向购买人明示的所售商品房能源消耗指标与实际能源消耗不符的，依法承担民事责任；由县级以上地方人民政府建设主管部门责令限期改正；逾期未改正的，处交付使用的房屋销售总额2%以下的罚款；情节严重的，由颁发资质证书的部门降低资质等级或者吊销资质证书。</w:t>
            </w:r>
          </w:p>
        </w:tc>
        <w:tc>
          <w:tcPr>
            <w:tcW w:w="992" w:type="dxa"/>
            <w:vMerge w:val="restart"/>
            <w:vAlign w:val="center"/>
          </w:tcPr>
          <w:p w14:paraId="090B7588">
            <w:pPr>
              <w:widowControl/>
              <w:autoSpaceDE w:val="0"/>
              <w:autoSpaceDN w:val="0"/>
              <w:spacing w:line="280" w:lineRule="exact"/>
              <w:jc w:val="center"/>
              <w:rPr>
                <w:rFonts w:ascii="Times New Roman" w:hAnsi="Times New Roman" w:eastAsia="仿宋_GB2312"/>
                <w:color w:val="auto"/>
                <w:szCs w:val="21"/>
              </w:rPr>
            </w:pPr>
            <w:r>
              <w:rPr>
                <w:rFonts w:hint="eastAsia" w:ascii="Times New Roman" w:hAnsi="Times New Roman" w:eastAsia="仿宋_GB2312"/>
                <w:color w:val="auto"/>
                <w:szCs w:val="21"/>
              </w:rPr>
              <w:t>现场</w:t>
            </w:r>
          </w:p>
          <w:p w14:paraId="28F40493">
            <w:pPr>
              <w:widowControl/>
              <w:autoSpaceDE w:val="0"/>
              <w:autoSpaceDN w:val="0"/>
              <w:spacing w:line="280" w:lineRule="exact"/>
              <w:jc w:val="center"/>
              <w:rPr>
                <w:rFonts w:ascii="Times New Roman" w:hAnsi="Times New Roman" w:eastAsia="仿宋_GB2312"/>
                <w:color w:val="auto"/>
                <w:szCs w:val="21"/>
              </w:rPr>
            </w:pPr>
            <w:r>
              <w:rPr>
                <w:rFonts w:hint="eastAsia" w:ascii="Times New Roman" w:hAnsi="Times New Roman" w:eastAsia="仿宋_GB2312"/>
                <w:color w:val="auto"/>
                <w:szCs w:val="21"/>
              </w:rPr>
              <w:t>检查</w:t>
            </w:r>
          </w:p>
        </w:tc>
        <w:tc>
          <w:tcPr>
            <w:tcW w:w="1139" w:type="dxa"/>
            <w:vMerge w:val="restart"/>
            <w:vAlign w:val="center"/>
          </w:tcPr>
          <w:p w14:paraId="15128A3A">
            <w:pPr>
              <w:widowControl/>
              <w:autoSpaceDE w:val="0"/>
              <w:autoSpaceDN w:val="0"/>
              <w:spacing w:line="280" w:lineRule="exact"/>
              <w:jc w:val="center"/>
              <w:rPr>
                <w:rFonts w:ascii="Times New Roman" w:hAnsi="Times New Roman" w:eastAsia="仿宋_GB2312"/>
                <w:color w:val="auto"/>
                <w:szCs w:val="21"/>
              </w:rPr>
            </w:pPr>
            <w:r>
              <w:rPr>
                <w:rFonts w:hint="eastAsia" w:ascii="Times New Roman" w:hAnsi="Times New Roman" w:eastAsia="仿宋_GB2312"/>
                <w:color w:val="auto"/>
                <w:szCs w:val="21"/>
              </w:rPr>
              <w:t>全年</w:t>
            </w:r>
          </w:p>
        </w:tc>
        <w:tc>
          <w:tcPr>
            <w:tcW w:w="1491" w:type="dxa"/>
            <w:vAlign w:val="center"/>
          </w:tcPr>
          <w:p w14:paraId="60451C77">
            <w:pPr>
              <w:widowControl/>
              <w:autoSpaceDE w:val="0"/>
              <w:autoSpaceDN w:val="0"/>
              <w:spacing w:line="280" w:lineRule="exact"/>
              <w:jc w:val="center"/>
              <w:rPr>
                <w:rFonts w:ascii="Times New Roman" w:hAnsi="Times New Roman" w:eastAsia="仿宋_GB2312"/>
                <w:color w:val="auto"/>
                <w:szCs w:val="21"/>
              </w:rPr>
            </w:pPr>
            <w:r>
              <w:rPr>
                <w:rFonts w:hint="eastAsia" w:ascii="Times New Roman" w:hAnsi="Times New Roman" w:eastAsia="仿宋_GB2312"/>
                <w:color w:val="auto"/>
                <w:szCs w:val="21"/>
              </w:rPr>
              <w:t>320217202000</w:t>
            </w:r>
          </w:p>
        </w:tc>
        <w:tc>
          <w:tcPr>
            <w:tcW w:w="1481" w:type="dxa"/>
            <w:vAlign w:val="center"/>
          </w:tcPr>
          <w:p w14:paraId="30F2E011">
            <w:pPr>
              <w:widowControl/>
              <w:autoSpaceDE w:val="0"/>
              <w:autoSpaceDN w:val="0"/>
              <w:spacing w:line="280" w:lineRule="exact"/>
              <w:rPr>
                <w:rFonts w:ascii="Times New Roman" w:hAnsi="Times New Roman" w:eastAsia="仿宋_GB2312"/>
                <w:color w:val="auto"/>
                <w:szCs w:val="21"/>
              </w:rPr>
            </w:pPr>
            <w:r>
              <w:rPr>
                <w:rFonts w:hint="eastAsia" w:ascii="Times New Roman" w:hAnsi="Times New Roman" w:eastAsia="仿宋_GB2312"/>
                <w:color w:val="auto"/>
                <w:szCs w:val="21"/>
              </w:rPr>
              <w:t>对房地产开发企业销售商品房，未向购买人明示所售商品房的能源消耗指标、节能措施和保护要求、保温工程保修期等信息，或者向购买人明示的所售商品房能源消耗指标与实际能源消耗不符的处罚</w:t>
            </w:r>
          </w:p>
        </w:tc>
        <w:tc>
          <w:tcPr>
            <w:tcW w:w="622" w:type="dxa"/>
            <w:vAlign w:val="center"/>
          </w:tcPr>
          <w:p w14:paraId="272383B1">
            <w:pPr>
              <w:spacing w:line="280" w:lineRule="exact"/>
              <w:jc w:val="center"/>
              <w:rPr>
                <w:rFonts w:ascii="Times New Roman" w:hAnsi="Times New Roman" w:eastAsia="仿宋_GB2312"/>
                <w:color w:val="auto"/>
                <w:kern w:val="0"/>
                <w:szCs w:val="21"/>
              </w:rPr>
            </w:pPr>
          </w:p>
        </w:tc>
      </w:tr>
      <w:tr w14:paraId="32440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1" w:hRule="atLeast"/>
          <w:jc w:val="center"/>
        </w:trPr>
        <w:tc>
          <w:tcPr>
            <w:tcW w:w="536" w:type="dxa"/>
            <w:vMerge w:val="continue"/>
            <w:vAlign w:val="center"/>
          </w:tcPr>
          <w:p w14:paraId="47332839">
            <w:pPr>
              <w:autoSpaceDE w:val="0"/>
              <w:autoSpaceDN w:val="0"/>
              <w:spacing w:line="280" w:lineRule="exact"/>
              <w:jc w:val="center"/>
              <w:rPr>
                <w:rFonts w:ascii="Times New Roman" w:hAnsi="Times New Roman" w:eastAsia="仿宋_GB2312"/>
                <w:color w:val="auto"/>
                <w:szCs w:val="21"/>
              </w:rPr>
            </w:pPr>
          </w:p>
        </w:tc>
        <w:tc>
          <w:tcPr>
            <w:tcW w:w="1324" w:type="dxa"/>
            <w:vMerge w:val="continue"/>
            <w:vAlign w:val="center"/>
          </w:tcPr>
          <w:p w14:paraId="3B152DD7">
            <w:pPr>
              <w:autoSpaceDE w:val="0"/>
              <w:autoSpaceDN w:val="0"/>
              <w:spacing w:line="280" w:lineRule="exact"/>
              <w:rPr>
                <w:rFonts w:ascii="Times New Roman" w:hAnsi="Times New Roman" w:eastAsia="仿宋_GB2312"/>
                <w:color w:val="auto"/>
                <w:szCs w:val="21"/>
              </w:rPr>
            </w:pPr>
          </w:p>
        </w:tc>
        <w:tc>
          <w:tcPr>
            <w:tcW w:w="794" w:type="dxa"/>
            <w:vMerge w:val="continue"/>
            <w:vAlign w:val="center"/>
          </w:tcPr>
          <w:p w14:paraId="50F85ABB">
            <w:pPr>
              <w:autoSpaceDE w:val="0"/>
              <w:autoSpaceDN w:val="0"/>
              <w:spacing w:line="280" w:lineRule="exact"/>
              <w:jc w:val="center"/>
              <w:rPr>
                <w:rFonts w:ascii="Times New Roman" w:hAnsi="Times New Roman" w:eastAsia="仿宋_GB2312"/>
                <w:color w:val="auto"/>
                <w:szCs w:val="21"/>
              </w:rPr>
            </w:pPr>
          </w:p>
        </w:tc>
        <w:tc>
          <w:tcPr>
            <w:tcW w:w="872" w:type="dxa"/>
            <w:vMerge w:val="continue"/>
            <w:vAlign w:val="center"/>
          </w:tcPr>
          <w:p w14:paraId="7232F1EC">
            <w:pPr>
              <w:autoSpaceDE w:val="0"/>
              <w:autoSpaceDN w:val="0"/>
              <w:spacing w:line="280" w:lineRule="exact"/>
              <w:jc w:val="center"/>
              <w:rPr>
                <w:rFonts w:ascii="Times New Roman" w:hAnsi="Times New Roman" w:eastAsia="仿宋_GB2312"/>
                <w:color w:val="auto"/>
                <w:szCs w:val="21"/>
              </w:rPr>
            </w:pPr>
          </w:p>
        </w:tc>
        <w:tc>
          <w:tcPr>
            <w:tcW w:w="869" w:type="dxa"/>
            <w:vMerge w:val="continue"/>
            <w:vAlign w:val="center"/>
          </w:tcPr>
          <w:p w14:paraId="0D75F0BA">
            <w:pPr>
              <w:autoSpaceDE w:val="0"/>
              <w:autoSpaceDN w:val="0"/>
              <w:spacing w:line="280" w:lineRule="exact"/>
              <w:jc w:val="center"/>
              <w:rPr>
                <w:rFonts w:ascii="Times New Roman" w:hAnsi="Times New Roman" w:eastAsia="仿宋_GB2312"/>
                <w:color w:val="auto"/>
                <w:szCs w:val="21"/>
              </w:rPr>
            </w:pPr>
          </w:p>
        </w:tc>
        <w:tc>
          <w:tcPr>
            <w:tcW w:w="4962" w:type="dxa"/>
            <w:vAlign w:val="center"/>
          </w:tcPr>
          <w:p w14:paraId="78249409">
            <w:pPr>
              <w:widowControl/>
              <w:autoSpaceDE w:val="0"/>
              <w:autoSpaceDN w:val="0"/>
              <w:spacing w:line="280" w:lineRule="exact"/>
              <w:jc w:val="left"/>
              <w:rPr>
                <w:rFonts w:ascii="Times New Roman" w:hAnsi="Times New Roman" w:eastAsia="仿宋_GB2312"/>
                <w:color w:val="auto"/>
                <w:szCs w:val="21"/>
              </w:rPr>
            </w:pPr>
            <w:r>
              <w:rPr>
                <w:rFonts w:hint="eastAsia" w:ascii="Times New Roman" w:hAnsi="Times New Roman" w:eastAsia="仿宋_GB2312"/>
                <w:color w:val="auto"/>
                <w:szCs w:val="21"/>
              </w:rPr>
              <w:t>【法律】《中华人民共和国节约能源法》</w:t>
            </w:r>
          </w:p>
          <w:p w14:paraId="597899DA">
            <w:pPr>
              <w:widowControl/>
              <w:autoSpaceDE w:val="0"/>
              <w:autoSpaceDN w:val="0"/>
              <w:spacing w:line="280" w:lineRule="exact"/>
              <w:jc w:val="left"/>
              <w:rPr>
                <w:rFonts w:ascii="Times New Roman" w:hAnsi="Times New Roman" w:eastAsia="仿宋_GB2312"/>
                <w:color w:val="auto"/>
                <w:szCs w:val="21"/>
              </w:rPr>
            </w:pPr>
            <w:r>
              <w:rPr>
                <w:rFonts w:hint="eastAsia" w:ascii="Times New Roman" w:hAnsi="Times New Roman" w:eastAsia="仿宋_GB2312"/>
                <w:color w:val="auto"/>
                <w:szCs w:val="21"/>
              </w:rPr>
              <w:t xml:space="preserve">    第三十六条 房地产开发企业在销售房屋时，应当向购买人明示所售房屋的节能措施、保温工程保修期等信息，在房屋买卖合同、质量保证书和使用说明书中载明，并对其真实性、准确性负责。</w:t>
            </w:r>
          </w:p>
          <w:p w14:paraId="0C87828E">
            <w:pPr>
              <w:autoSpaceDE w:val="0"/>
              <w:autoSpaceDN w:val="0"/>
              <w:spacing w:line="280" w:lineRule="exact"/>
              <w:jc w:val="left"/>
              <w:rPr>
                <w:rFonts w:ascii="Times New Roman" w:hAnsi="Times New Roman" w:eastAsia="仿宋_GB2312"/>
                <w:color w:val="auto"/>
                <w:szCs w:val="21"/>
              </w:rPr>
            </w:pPr>
            <w:r>
              <w:rPr>
                <w:rFonts w:hint="eastAsia" w:ascii="Times New Roman" w:hAnsi="Times New Roman" w:eastAsia="仿宋_GB2312"/>
                <w:color w:val="auto"/>
                <w:szCs w:val="21"/>
              </w:rPr>
              <w:t xml:space="preserve">    第八十条 房地产开发企业违反本法规定，在销售房屋时未向购买人明示所售房屋的节能措施、保温工程保修期等信息的，由建设主管部门责令限期改正，逾期不改正的，处三万元以上五万元以下罚款；对以上信息作虚假宣传的，由建设主管部门责令改正，处五万元以上二十万元以下罚款。</w:t>
            </w:r>
          </w:p>
        </w:tc>
        <w:tc>
          <w:tcPr>
            <w:tcW w:w="992" w:type="dxa"/>
            <w:vMerge w:val="continue"/>
            <w:vAlign w:val="center"/>
          </w:tcPr>
          <w:p w14:paraId="213231F1">
            <w:pPr>
              <w:widowControl/>
              <w:autoSpaceDE w:val="0"/>
              <w:autoSpaceDN w:val="0"/>
              <w:spacing w:line="280" w:lineRule="exact"/>
              <w:jc w:val="center"/>
              <w:rPr>
                <w:rFonts w:ascii="Times New Roman" w:hAnsi="Times New Roman" w:eastAsia="仿宋_GB2312"/>
                <w:color w:val="auto"/>
                <w:szCs w:val="21"/>
              </w:rPr>
            </w:pPr>
          </w:p>
        </w:tc>
        <w:tc>
          <w:tcPr>
            <w:tcW w:w="1139" w:type="dxa"/>
            <w:vMerge w:val="continue"/>
            <w:vAlign w:val="center"/>
          </w:tcPr>
          <w:p w14:paraId="20D7C426">
            <w:pPr>
              <w:widowControl/>
              <w:autoSpaceDE w:val="0"/>
              <w:autoSpaceDN w:val="0"/>
              <w:spacing w:line="280" w:lineRule="exact"/>
              <w:jc w:val="center"/>
              <w:rPr>
                <w:rFonts w:ascii="Times New Roman" w:hAnsi="Times New Roman" w:eastAsia="仿宋_GB2312"/>
                <w:color w:val="auto"/>
                <w:szCs w:val="21"/>
              </w:rPr>
            </w:pPr>
          </w:p>
        </w:tc>
        <w:tc>
          <w:tcPr>
            <w:tcW w:w="1491" w:type="dxa"/>
            <w:vAlign w:val="center"/>
          </w:tcPr>
          <w:p w14:paraId="0D3645AE">
            <w:pPr>
              <w:autoSpaceDE w:val="0"/>
              <w:autoSpaceDN w:val="0"/>
              <w:spacing w:line="280" w:lineRule="exact"/>
              <w:jc w:val="center"/>
              <w:rPr>
                <w:rFonts w:ascii="Times New Roman" w:hAnsi="Times New Roman" w:eastAsia="仿宋_GB2312"/>
                <w:color w:val="auto"/>
                <w:szCs w:val="21"/>
              </w:rPr>
            </w:pPr>
            <w:r>
              <w:rPr>
                <w:rFonts w:hint="eastAsia" w:ascii="Times New Roman" w:hAnsi="Times New Roman" w:eastAsia="仿宋_GB2312"/>
                <w:color w:val="auto"/>
                <w:szCs w:val="21"/>
              </w:rPr>
              <w:t>320217022000</w:t>
            </w:r>
          </w:p>
        </w:tc>
        <w:tc>
          <w:tcPr>
            <w:tcW w:w="1481" w:type="dxa"/>
            <w:vAlign w:val="center"/>
          </w:tcPr>
          <w:p w14:paraId="6F4D6FA2">
            <w:pPr>
              <w:autoSpaceDE w:val="0"/>
              <w:autoSpaceDN w:val="0"/>
              <w:spacing w:line="280" w:lineRule="exact"/>
              <w:rPr>
                <w:rFonts w:ascii="Times New Roman" w:hAnsi="Times New Roman" w:eastAsia="仿宋_GB2312"/>
                <w:color w:val="auto"/>
                <w:szCs w:val="21"/>
              </w:rPr>
            </w:pPr>
            <w:r>
              <w:rPr>
                <w:rFonts w:hint="eastAsia" w:ascii="Times New Roman" w:hAnsi="Times New Roman" w:eastAsia="仿宋_GB2312"/>
                <w:color w:val="auto"/>
                <w:szCs w:val="21"/>
              </w:rPr>
              <w:t>对房地产开发企业在销售房屋时未向购买人明示所售房屋的节能措施、保温工程保修期等信息的或对以上信息作虚假宣传的处罚</w:t>
            </w:r>
          </w:p>
        </w:tc>
        <w:tc>
          <w:tcPr>
            <w:tcW w:w="622" w:type="dxa"/>
            <w:vAlign w:val="center"/>
          </w:tcPr>
          <w:p w14:paraId="0904F998">
            <w:pPr>
              <w:spacing w:line="280" w:lineRule="exact"/>
              <w:rPr>
                <w:rFonts w:ascii="Times New Roman" w:hAnsi="Times New Roman" w:eastAsia="仿宋_GB2312"/>
                <w:color w:val="auto"/>
                <w:kern w:val="0"/>
                <w:szCs w:val="21"/>
              </w:rPr>
            </w:pPr>
          </w:p>
        </w:tc>
      </w:tr>
      <w:tr w14:paraId="633EC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6" w:hRule="atLeast"/>
          <w:jc w:val="center"/>
        </w:trPr>
        <w:tc>
          <w:tcPr>
            <w:tcW w:w="536" w:type="dxa"/>
            <w:vAlign w:val="center"/>
          </w:tcPr>
          <w:p w14:paraId="449CF2D5">
            <w:pPr>
              <w:autoSpaceDE w:val="0"/>
              <w:autoSpaceDN w:val="0"/>
              <w:spacing w:line="280" w:lineRule="exact"/>
              <w:jc w:val="center"/>
              <w:rPr>
                <w:rFonts w:ascii="Times New Roman" w:hAnsi="Times New Roman" w:eastAsia="仿宋_GB2312"/>
                <w:color w:val="auto"/>
                <w:szCs w:val="21"/>
              </w:rPr>
            </w:pPr>
            <w:r>
              <w:rPr>
                <w:rFonts w:hint="eastAsia" w:ascii="Times New Roman" w:hAnsi="Times New Roman" w:eastAsia="仿宋_GB2312"/>
                <w:color w:val="auto"/>
                <w:szCs w:val="21"/>
              </w:rPr>
              <w:t>1</w:t>
            </w:r>
          </w:p>
        </w:tc>
        <w:tc>
          <w:tcPr>
            <w:tcW w:w="1324" w:type="dxa"/>
            <w:vAlign w:val="center"/>
          </w:tcPr>
          <w:p w14:paraId="0C29C059">
            <w:pPr>
              <w:widowControl/>
              <w:autoSpaceDE w:val="0"/>
              <w:autoSpaceDN w:val="0"/>
              <w:spacing w:line="280" w:lineRule="exact"/>
              <w:rPr>
                <w:rFonts w:ascii="Times New Roman" w:hAnsi="Times New Roman" w:eastAsia="仿宋_GB2312"/>
                <w:color w:val="auto"/>
                <w:szCs w:val="21"/>
              </w:rPr>
            </w:pPr>
            <w:r>
              <w:rPr>
                <w:rFonts w:hint="eastAsia" w:ascii="Times New Roman" w:hAnsi="Times New Roman" w:eastAsia="仿宋_GB2312"/>
                <w:color w:val="auto"/>
                <w:szCs w:val="21"/>
              </w:rPr>
              <w:t>对房地产开发企业从事房地产开发经营活动的检查</w:t>
            </w:r>
          </w:p>
          <w:p w14:paraId="2685AB2E">
            <w:pPr>
              <w:autoSpaceDE w:val="0"/>
              <w:autoSpaceDN w:val="0"/>
              <w:spacing w:line="280" w:lineRule="exact"/>
              <w:rPr>
                <w:rFonts w:ascii="Times New Roman" w:hAnsi="Times New Roman" w:eastAsia="仿宋_GB2312"/>
                <w:color w:val="auto"/>
                <w:szCs w:val="21"/>
              </w:rPr>
            </w:pPr>
          </w:p>
        </w:tc>
        <w:tc>
          <w:tcPr>
            <w:tcW w:w="794" w:type="dxa"/>
            <w:vAlign w:val="center"/>
          </w:tcPr>
          <w:p w14:paraId="653465EA">
            <w:pPr>
              <w:autoSpaceDE w:val="0"/>
              <w:autoSpaceDN w:val="0"/>
              <w:spacing w:line="280" w:lineRule="exact"/>
              <w:jc w:val="center"/>
              <w:rPr>
                <w:rFonts w:ascii="Times New Roman" w:hAnsi="Times New Roman" w:eastAsia="仿宋_GB2312"/>
                <w:color w:val="auto"/>
                <w:szCs w:val="21"/>
              </w:rPr>
            </w:pPr>
            <w:r>
              <w:rPr>
                <w:rFonts w:hint="eastAsia" w:ascii="Times New Roman" w:hAnsi="Times New Roman" w:eastAsia="仿宋_GB2312" w:cs="宋体"/>
                <w:color w:val="auto"/>
                <w:szCs w:val="21"/>
              </w:rPr>
              <w:t>苏州市相城区住房和城乡建设局</w:t>
            </w:r>
          </w:p>
        </w:tc>
        <w:tc>
          <w:tcPr>
            <w:tcW w:w="872" w:type="dxa"/>
            <w:vAlign w:val="center"/>
          </w:tcPr>
          <w:p w14:paraId="7728F549">
            <w:pPr>
              <w:autoSpaceDE w:val="0"/>
              <w:autoSpaceDN w:val="0"/>
              <w:spacing w:line="280" w:lineRule="exact"/>
              <w:rPr>
                <w:rFonts w:ascii="Times New Roman" w:hAnsi="Times New Roman" w:eastAsia="仿宋_GB2312"/>
                <w:color w:val="auto"/>
                <w:szCs w:val="21"/>
              </w:rPr>
            </w:pPr>
            <w:r>
              <w:rPr>
                <w:rFonts w:hint="eastAsia" w:ascii="Times New Roman" w:hAnsi="Times New Roman" w:eastAsia="仿宋_GB2312"/>
                <w:color w:val="auto"/>
                <w:szCs w:val="21"/>
              </w:rPr>
              <w:t>房地产市场监管科</w:t>
            </w:r>
          </w:p>
        </w:tc>
        <w:tc>
          <w:tcPr>
            <w:tcW w:w="869" w:type="dxa"/>
            <w:vAlign w:val="center"/>
          </w:tcPr>
          <w:p w14:paraId="05AC9281">
            <w:pPr>
              <w:autoSpaceDE w:val="0"/>
              <w:autoSpaceDN w:val="0"/>
              <w:spacing w:line="280" w:lineRule="exact"/>
              <w:jc w:val="center"/>
              <w:rPr>
                <w:rFonts w:ascii="Times New Roman" w:hAnsi="Times New Roman" w:eastAsia="仿宋_GB2312"/>
                <w:color w:val="auto"/>
                <w:szCs w:val="21"/>
              </w:rPr>
            </w:pPr>
            <w:r>
              <w:rPr>
                <w:rFonts w:hint="eastAsia" w:ascii="Times New Roman" w:hAnsi="Times New Roman" w:eastAsia="仿宋_GB2312"/>
                <w:color w:val="auto"/>
                <w:szCs w:val="21"/>
              </w:rPr>
              <w:t>开发</w:t>
            </w:r>
          </w:p>
          <w:p w14:paraId="5BE5D265">
            <w:pPr>
              <w:autoSpaceDE w:val="0"/>
              <w:autoSpaceDN w:val="0"/>
              <w:spacing w:line="280" w:lineRule="exact"/>
              <w:jc w:val="center"/>
              <w:rPr>
                <w:rFonts w:ascii="Times New Roman" w:hAnsi="Times New Roman" w:eastAsia="仿宋_GB2312"/>
                <w:color w:val="auto"/>
                <w:szCs w:val="21"/>
              </w:rPr>
            </w:pPr>
            <w:r>
              <w:rPr>
                <w:rFonts w:hint="eastAsia" w:ascii="Times New Roman" w:hAnsi="Times New Roman" w:eastAsia="仿宋_GB2312"/>
                <w:color w:val="auto"/>
                <w:szCs w:val="21"/>
              </w:rPr>
              <w:t>企业</w:t>
            </w:r>
          </w:p>
        </w:tc>
        <w:tc>
          <w:tcPr>
            <w:tcW w:w="4962" w:type="dxa"/>
            <w:vAlign w:val="center"/>
          </w:tcPr>
          <w:p w14:paraId="644BB711">
            <w:pPr>
              <w:widowControl/>
              <w:autoSpaceDE w:val="0"/>
              <w:autoSpaceDN w:val="0"/>
              <w:spacing w:line="280" w:lineRule="exact"/>
              <w:jc w:val="left"/>
              <w:rPr>
                <w:rFonts w:ascii="Times New Roman" w:hAnsi="Times New Roman" w:eastAsia="仿宋_GB2312"/>
                <w:color w:val="auto"/>
                <w:szCs w:val="21"/>
              </w:rPr>
            </w:pPr>
            <w:r>
              <w:rPr>
                <w:rFonts w:hint="eastAsia" w:ascii="Times New Roman" w:hAnsi="Times New Roman" w:eastAsia="仿宋_GB2312"/>
                <w:color w:val="auto"/>
                <w:szCs w:val="21"/>
              </w:rPr>
              <w:t>【规章】《商品房销售管理办法》</w:t>
            </w:r>
          </w:p>
          <w:p w14:paraId="3324B358">
            <w:pPr>
              <w:widowControl/>
              <w:autoSpaceDE w:val="0"/>
              <w:autoSpaceDN w:val="0"/>
              <w:spacing w:line="280" w:lineRule="exact"/>
              <w:jc w:val="left"/>
              <w:rPr>
                <w:rFonts w:ascii="Times New Roman" w:hAnsi="Times New Roman" w:eastAsia="仿宋_GB2312"/>
                <w:color w:val="auto"/>
                <w:szCs w:val="21"/>
              </w:rPr>
            </w:pPr>
            <w:r>
              <w:rPr>
                <w:rFonts w:hint="eastAsia" w:ascii="Times New Roman" w:hAnsi="Times New Roman" w:eastAsia="仿宋_GB2312"/>
                <w:color w:val="auto"/>
                <w:szCs w:val="21"/>
              </w:rPr>
              <w:t xml:space="preserve">    第二十二条第一款  不符合商品房销售条件的，房地产开发企业不得销售商品房，不得向买受人收取任何预订款性质费用。</w:t>
            </w:r>
          </w:p>
          <w:p w14:paraId="5725EA70">
            <w:pPr>
              <w:widowControl/>
              <w:autoSpaceDE w:val="0"/>
              <w:autoSpaceDN w:val="0"/>
              <w:spacing w:line="280" w:lineRule="exact"/>
              <w:jc w:val="left"/>
              <w:rPr>
                <w:rFonts w:ascii="Times New Roman" w:hAnsi="Times New Roman" w:eastAsia="仿宋_GB2312"/>
                <w:color w:val="auto"/>
                <w:szCs w:val="21"/>
              </w:rPr>
            </w:pPr>
            <w:r>
              <w:rPr>
                <w:rFonts w:hint="eastAsia" w:ascii="Times New Roman" w:hAnsi="Times New Roman" w:eastAsia="仿宋_GB2312"/>
                <w:color w:val="auto"/>
                <w:szCs w:val="21"/>
              </w:rPr>
              <w:t xml:space="preserve">    第四十二条 房地产开发企业在销售商品房中有下列行为之一的，处以警告，责令限期改正，并可处以1万元以上3万元以下罚款。 </w:t>
            </w:r>
          </w:p>
          <w:p w14:paraId="7119D218">
            <w:pPr>
              <w:widowControl/>
              <w:autoSpaceDE w:val="0"/>
              <w:autoSpaceDN w:val="0"/>
              <w:spacing w:line="280" w:lineRule="exact"/>
              <w:jc w:val="left"/>
              <w:rPr>
                <w:rFonts w:ascii="Times New Roman" w:hAnsi="Times New Roman" w:eastAsia="仿宋_GB2312"/>
                <w:color w:val="auto"/>
                <w:szCs w:val="21"/>
              </w:rPr>
            </w:pPr>
            <w:r>
              <w:rPr>
                <w:rFonts w:hint="eastAsia" w:ascii="Times New Roman" w:hAnsi="Times New Roman" w:eastAsia="仿宋_GB2312"/>
                <w:color w:val="auto"/>
                <w:szCs w:val="21"/>
              </w:rPr>
              <w:t xml:space="preserve">   （六）不符合商品房销售条件，向买受人收取预订款性质费用的。</w:t>
            </w:r>
          </w:p>
        </w:tc>
        <w:tc>
          <w:tcPr>
            <w:tcW w:w="992" w:type="dxa"/>
            <w:vAlign w:val="center"/>
          </w:tcPr>
          <w:p w14:paraId="4BE28E76">
            <w:pPr>
              <w:widowControl/>
              <w:autoSpaceDE w:val="0"/>
              <w:autoSpaceDN w:val="0"/>
              <w:spacing w:line="280" w:lineRule="exact"/>
              <w:jc w:val="center"/>
              <w:rPr>
                <w:rFonts w:ascii="Times New Roman" w:hAnsi="Times New Roman" w:eastAsia="仿宋_GB2312"/>
                <w:color w:val="auto"/>
                <w:szCs w:val="21"/>
              </w:rPr>
            </w:pPr>
            <w:r>
              <w:rPr>
                <w:rFonts w:hint="eastAsia" w:ascii="Times New Roman" w:hAnsi="Times New Roman" w:eastAsia="仿宋_GB2312"/>
                <w:color w:val="auto"/>
                <w:szCs w:val="21"/>
              </w:rPr>
              <w:t>现场</w:t>
            </w:r>
          </w:p>
          <w:p w14:paraId="55DE4BC6">
            <w:pPr>
              <w:widowControl/>
              <w:autoSpaceDE w:val="0"/>
              <w:autoSpaceDN w:val="0"/>
              <w:spacing w:line="280" w:lineRule="exact"/>
              <w:jc w:val="center"/>
              <w:rPr>
                <w:rFonts w:ascii="Times New Roman" w:hAnsi="Times New Roman" w:eastAsia="仿宋_GB2312"/>
                <w:color w:val="auto"/>
                <w:szCs w:val="21"/>
              </w:rPr>
            </w:pPr>
            <w:r>
              <w:rPr>
                <w:rFonts w:hint="eastAsia" w:ascii="Times New Roman" w:hAnsi="Times New Roman" w:eastAsia="仿宋_GB2312"/>
                <w:color w:val="auto"/>
                <w:szCs w:val="21"/>
              </w:rPr>
              <w:t>检查</w:t>
            </w:r>
          </w:p>
        </w:tc>
        <w:tc>
          <w:tcPr>
            <w:tcW w:w="1139" w:type="dxa"/>
            <w:vAlign w:val="center"/>
          </w:tcPr>
          <w:p w14:paraId="7FF1ED8D">
            <w:pPr>
              <w:widowControl/>
              <w:autoSpaceDE w:val="0"/>
              <w:autoSpaceDN w:val="0"/>
              <w:spacing w:line="280" w:lineRule="exact"/>
              <w:jc w:val="center"/>
              <w:rPr>
                <w:rFonts w:ascii="Times New Roman" w:hAnsi="Times New Roman" w:eastAsia="仿宋_GB2312"/>
                <w:color w:val="auto"/>
                <w:szCs w:val="21"/>
              </w:rPr>
            </w:pPr>
            <w:r>
              <w:rPr>
                <w:rFonts w:hint="eastAsia" w:ascii="Times New Roman" w:hAnsi="Times New Roman" w:eastAsia="仿宋_GB2312"/>
                <w:color w:val="auto"/>
                <w:szCs w:val="21"/>
              </w:rPr>
              <w:t>全年</w:t>
            </w:r>
          </w:p>
        </w:tc>
        <w:tc>
          <w:tcPr>
            <w:tcW w:w="1491" w:type="dxa"/>
            <w:vAlign w:val="center"/>
          </w:tcPr>
          <w:p w14:paraId="163EC741">
            <w:pPr>
              <w:widowControl/>
              <w:autoSpaceDE w:val="0"/>
              <w:autoSpaceDN w:val="0"/>
              <w:spacing w:line="280" w:lineRule="exact"/>
              <w:jc w:val="center"/>
              <w:rPr>
                <w:rFonts w:ascii="Times New Roman" w:hAnsi="Times New Roman" w:eastAsia="仿宋_GB2312"/>
                <w:color w:val="auto"/>
                <w:szCs w:val="21"/>
              </w:rPr>
            </w:pPr>
            <w:r>
              <w:rPr>
                <w:rFonts w:hint="eastAsia" w:ascii="Times New Roman" w:hAnsi="Times New Roman" w:eastAsia="仿宋_GB2312"/>
                <w:color w:val="auto"/>
                <w:szCs w:val="21"/>
              </w:rPr>
              <w:t>320217019000</w:t>
            </w:r>
          </w:p>
        </w:tc>
        <w:tc>
          <w:tcPr>
            <w:tcW w:w="1481" w:type="dxa"/>
            <w:vAlign w:val="center"/>
          </w:tcPr>
          <w:p w14:paraId="6F1AE6BA">
            <w:pPr>
              <w:widowControl/>
              <w:autoSpaceDE w:val="0"/>
              <w:autoSpaceDN w:val="0"/>
              <w:spacing w:line="280" w:lineRule="exact"/>
              <w:rPr>
                <w:rFonts w:ascii="Times New Roman" w:hAnsi="Times New Roman" w:eastAsia="仿宋_GB2312"/>
                <w:color w:val="auto"/>
                <w:szCs w:val="21"/>
              </w:rPr>
            </w:pPr>
            <w:r>
              <w:rPr>
                <w:rFonts w:hint="eastAsia" w:ascii="Times New Roman" w:hAnsi="Times New Roman" w:eastAsia="仿宋_GB2312"/>
                <w:color w:val="auto"/>
                <w:szCs w:val="21"/>
              </w:rPr>
              <w:t>对不符合商品房销售条件，房地产开发企业向买受人收取预订款性质费用的处罚</w:t>
            </w:r>
          </w:p>
        </w:tc>
        <w:tc>
          <w:tcPr>
            <w:tcW w:w="622" w:type="dxa"/>
            <w:vAlign w:val="center"/>
          </w:tcPr>
          <w:p w14:paraId="6B6C2FC4">
            <w:pPr>
              <w:spacing w:line="280" w:lineRule="exact"/>
              <w:jc w:val="center"/>
              <w:rPr>
                <w:rFonts w:ascii="Times New Roman" w:hAnsi="Times New Roman" w:eastAsia="仿宋_GB2312"/>
                <w:color w:val="auto"/>
                <w:kern w:val="0"/>
                <w:szCs w:val="21"/>
              </w:rPr>
            </w:pPr>
          </w:p>
        </w:tc>
      </w:tr>
      <w:tr w14:paraId="59A11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0" w:hRule="atLeast"/>
          <w:jc w:val="center"/>
        </w:trPr>
        <w:tc>
          <w:tcPr>
            <w:tcW w:w="536" w:type="dxa"/>
            <w:tcBorders>
              <w:top w:val="single" w:color="auto" w:sz="4" w:space="0"/>
              <w:left w:val="single" w:color="auto" w:sz="4" w:space="0"/>
              <w:bottom w:val="single" w:color="auto" w:sz="4" w:space="0"/>
              <w:right w:val="single" w:color="auto" w:sz="4" w:space="0"/>
            </w:tcBorders>
            <w:shd w:val="clear" w:color="auto" w:fill="auto"/>
            <w:vAlign w:val="center"/>
          </w:tcPr>
          <w:p w14:paraId="1F8297B1">
            <w:pPr>
              <w:widowControl/>
              <w:autoSpaceDE w:val="0"/>
              <w:autoSpaceDN w:val="0"/>
              <w:spacing w:line="280" w:lineRule="exact"/>
              <w:jc w:val="center"/>
              <w:rPr>
                <w:rFonts w:ascii="Times New Roman" w:hAnsi="Times New Roman" w:eastAsia="仿宋_GB2312"/>
                <w:color w:val="auto"/>
                <w:szCs w:val="21"/>
              </w:rPr>
            </w:pPr>
            <w:r>
              <w:rPr>
                <w:rFonts w:hint="eastAsia" w:ascii="Times New Roman" w:hAnsi="Times New Roman" w:eastAsia="仿宋_GB2312"/>
                <w:color w:val="auto"/>
                <w:szCs w:val="21"/>
              </w:rPr>
              <w:t>2</w:t>
            </w:r>
          </w:p>
        </w:tc>
        <w:tc>
          <w:tcPr>
            <w:tcW w:w="1324" w:type="dxa"/>
            <w:tcBorders>
              <w:top w:val="single" w:color="auto" w:sz="4" w:space="0"/>
              <w:left w:val="single" w:color="auto" w:sz="4" w:space="0"/>
              <w:bottom w:val="single" w:color="auto" w:sz="4" w:space="0"/>
              <w:right w:val="single" w:color="auto" w:sz="4" w:space="0"/>
            </w:tcBorders>
            <w:shd w:val="clear" w:color="auto" w:fill="auto"/>
            <w:vAlign w:val="center"/>
          </w:tcPr>
          <w:p w14:paraId="1BD64E7E">
            <w:pPr>
              <w:widowControl/>
              <w:autoSpaceDE w:val="0"/>
              <w:autoSpaceDN w:val="0"/>
              <w:spacing w:line="280" w:lineRule="exact"/>
              <w:jc w:val="left"/>
              <w:rPr>
                <w:rFonts w:ascii="Times New Roman" w:hAnsi="Times New Roman" w:eastAsia="仿宋_GB2312"/>
                <w:color w:val="auto"/>
                <w:szCs w:val="21"/>
              </w:rPr>
            </w:pPr>
            <w:r>
              <w:rPr>
                <w:rFonts w:hint="eastAsia" w:ascii="Times New Roman" w:hAnsi="Times New Roman" w:eastAsia="仿宋_GB2312"/>
                <w:color w:val="auto"/>
                <w:szCs w:val="21"/>
              </w:rPr>
              <w:t>对集中建设实施单位及政府投资非经营性项目情况的检查</w:t>
            </w:r>
          </w:p>
        </w:tc>
        <w:tc>
          <w:tcPr>
            <w:tcW w:w="794" w:type="dxa"/>
            <w:tcBorders>
              <w:top w:val="single" w:color="auto" w:sz="4" w:space="0"/>
              <w:left w:val="single" w:color="auto" w:sz="4" w:space="0"/>
              <w:bottom w:val="single" w:color="auto" w:sz="4" w:space="0"/>
              <w:right w:val="single" w:color="auto" w:sz="4" w:space="0"/>
            </w:tcBorders>
            <w:shd w:val="clear" w:color="auto" w:fill="auto"/>
            <w:vAlign w:val="center"/>
          </w:tcPr>
          <w:p w14:paraId="0D6D87B5">
            <w:pPr>
              <w:widowControl/>
              <w:autoSpaceDE w:val="0"/>
              <w:autoSpaceDN w:val="0"/>
              <w:spacing w:line="280" w:lineRule="exact"/>
              <w:jc w:val="center"/>
              <w:rPr>
                <w:rFonts w:ascii="Times New Roman" w:hAnsi="Times New Roman" w:eastAsia="仿宋_GB2312"/>
                <w:color w:val="auto"/>
                <w:szCs w:val="21"/>
              </w:rPr>
            </w:pPr>
            <w:r>
              <w:rPr>
                <w:rFonts w:hint="eastAsia" w:ascii="Times New Roman" w:hAnsi="Times New Roman" w:eastAsia="仿宋_GB2312"/>
                <w:color w:val="auto"/>
                <w:szCs w:val="21"/>
              </w:rPr>
              <w:t>苏州市相城区住房和城乡建设局</w:t>
            </w:r>
          </w:p>
        </w:tc>
        <w:tc>
          <w:tcPr>
            <w:tcW w:w="872" w:type="dxa"/>
            <w:tcBorders>
              <w:top w:val="single" w:color="auto" w:sz="4" w:space="0"/>
              <w:left w:val="single" w:color="auto" w:sz="4" w:space="0"/>
              <w:bottom w:val="single" w:color="auto" w:sz="4" w:space="0"/>
              <w:right w:val="single" w:color="auto" w:sz="4" w:space="0"/>
            </w:tcBorders>
            <w:shd w:val="clear" w:color="auto" w:fill="auto"/>
            <w:vAlign w:val="center"/>
          </w:tcPr>
          <w:p w14:paraId="03EA1D7B">
            <w:pPr>
              <w:widowControl/>
              <w:autoSpaceDE w:val="0"/>
              <w:autoSpaceDN w:val="0"/>
              <w:spacing w:line="280" w:lineRule="exact"/>
              <w:jc w:val="left"/>
              <w:rPr>
                <w:rFonts w:ascii="Times New Roman" w:hAnsi="Times New Roman" w:eastAsia="仿宋_GB2312"/>
                <w:color w:val="auto"/>
                <w:szCs w:val="21"/>
              </w:rPr>
            </w:pPr>
            <w:r>
              <w:rPr>
                <w:rFonts w:hint="eastAsia" w:ascii="Times New Roman" w:hAnsi="Times New Roman" w:eastAsia="仿宋_GB2312"/>
                <w:color w:val="auto"/>
                <w:szCs w:val="21"/>
              </w:rPr>
              <w:t>相城区政府投资非经营性工程项目集中建设领导小组办公室</w:t>
            </w:r>
          </w:p>
        </w:tc>
        <w:tc>
          <w:tcPr>
            <w:tcW w:w="869" w:type="dxa"/>
            <w:tcBorders>
              <w:top w:val="single" w:color="auto" w:sz="4" w:space="0"/>
              <w:left w:val="single" w:color="auto" w:sz="4" w:space="0"/>
              <w:bottom w:val="single" w:color="auto" w:sz="4" w:space="0"/>
              <w:right w:val="single" w:color="auto" w:sz="4" w:space="0"/>
            </w:tcBorders>
            <w:shd w:val="clear" w:color="auto" w:fill="auto"/>
            <w:vAlign w:val="center"/>
          </w:tcPr>
          <w:p w14:paraId="45F0C295">
            <w:pPr>
              <w:widowControl/>
              <w:autoSpaceDE w:val="0"/>
              <w:autoSpaceDN w:val="0"/>
              <w:spacing w:line="280" w:lineRule="exact"/>
              <w:jc w:val="left"/>
              <w:rPr>
                <w:rFonts w:ascii="Times New Roman" w:hAnsi="Times New Roman" w:eastAsia="仿宋_GB2312"/>
                <w:color w:val="auto"/>
                <w:szCs w:val="21"/>
              </w:rPr>
            </w:pPr>
            <w:r>
              <w:rPr>
                <w:rFonts w:hint="eastAsia" w:ascii="Times New Roman" w:hAnsi="Times New Roman" w:eastAsia="仿宋_GB2312"/>
                <w:color w:val="auto"/>
                <w:szCs w:val="21"/>
              </w:rPr>
              <w:t>区级集中建设实施单位与区级政府投资非经营性项目</w:t>
            </w:r>
          </w:p>
        </w:tc>
        <w:tc>
          <w:tcPr>
            <w:tcW w:w="4962" w:type="dxa"/>
            <w:tcBorders>
              <w:top w:val="single" w:color="auto" w:sz="4" w:space="0"/>
              <w:left w:val="single" w:color="auto" w:sz="4" w:space="0"/>
              <w:bottom w:val="single" w:color="auto" w:sz="4" w:space="0"/>
              <w:right w:val="single" w:color="auto" w:sz="4" w:space="0"/>
            </w:tcBorders>
            <w:shd w:val="clear" w:color="auto" w:fill="auto"/>
            <w:vAlign w:val="center"/>
          </w:tcPr>
          <w:p w14:paraId="6AC8A73B">
            <w:pPr>
              <w:widowControl/>
              <w:autoSpaceDE w:val="0"/>
              <w:autoSpaceDN w:val="0"/>
              <w:spacing w:line="280" w:lineRule="exact"/>
              <w:jc w:val="left"/>
              <w:rPr>
                <w:rFonts w:ascii="Times New Roman" w:hAnsi="Times New Roman" w:eastAsia="仿宋_GB2312"/>
                <w:color w:val="auto"/>
                <w:szCs w:val="21"/>
              </w:rPr>
            </w:pPr>
            <w:r>
              <w:rPr>
                <w:rFonts w:hint="eastAsia" w:ascii="Times New Roman" w:hAnsi="Times New Roman" w:eastAsia="仿宋_GB2312"/>
                <w:color w:val="auto"/>
                <w:szCs w:val="21"/>
              </w:rPr>
              <w:t>【地方政府规章】《江苏省政府投资工程集中建设管理办法》</w:t>
            </w:r>
          </w:p>
          <w:p w14:paraId="68CB83E1">
            <w:pPr>
              <w:widowControl/>
              <w:autoSpaceDE w:val="0"/>
              <w:autoSpaceDN w:val="0"/>
              <w:spacing w:line="280" w:lineRule="exact"/>
              <w:jc w:val="left"/>
              <w:rPr>
                <w:rFonts w:ascii="Times New Roman" w:hAnsi="Times New Roman" w:eastAsia="仿宋_GB2312"/>
                <w:color w:val="auto"/>
                <w:szCs w:val="21"/>
              </w:rPr>
            </w:pPr>
            <w:r>
              <w:rPr>
                <w:rFonts w:hint="eastAsia" w:ascii="Times New Roman" w:hAnsi="Times New Roman" w:eastAsia="仿宋_GB2312"/>
                <w:color w:val="auto"/>
                <w:szCs w:val="21"/>
              </w:rPr>
              <w:t xml:space="preserve">    第二十一条  住房城乡建设部门应当对集中建设项目实施巡查、抽查，督促实施单位依法履行建设单位相关责任。</w:t>
            </w:r>
          </w:p>
          <w:p w14:paraId="1D1BEECB">
            <w:pPr>
              <w:widowControl/>
              <w:autoSpaceDE w:val="0"/>
              <w:autoSpaceDN w:val="0"/>
              <w:spacing w:line="280" w:lineRule="exact"/>
              <w:ind w:firstLine="420" w:firstLineChars="200"/>
              <w:jc w:val="left"/>
              <w:rPr>
                <w:rFonts w:ascii="Times New Roman" w:hAnsi="Times New Roman" w:eastAsia="仿宋_GB2312"/>
                <w:color w:val="auto"/>
                <w:szCs w:val="21"/>
              </w:rPr>
            </w:pPr>
            <w:r>
              <w:rPr>
                <w:rFonts w:hint="eastAsia" w:ascii="Times New Roman" w:hAnsi="Times New Roman" w:eastAsia="仿宋_GB2312"/>
                <w:color w:val="auto"/>
                <w:szCs w:val="21"/>
              </w:rPr>
              <w:t>住房城乡建设以及发展改革、财政等部门会同行业主管部门对实施单位履职尽责、专业能力、管理和服务水平等进行考核评价。考核评价结果报送当地人民政府，作为奖惩、调整实施单位的重要依据。</w:t>
            </w:r>
          </w:p>
          <w:p w14:paraId="6ED20291">
            <w:pPr>
              <w:widowControl/>
              <w:autoSpaceDE w:val="0"/>
              <w:autoSpaceDN w:val="0"/>
              <w:spacing w:line="280" w:lineRule="exact"/>
              <w:jc w:val="left"/>
              <w:rPr>
                <w:rFonts w:ascii="Times New Roman" w:hAnsi="Times New Roman" w:eastAsia="仿宋_GB2312"/>
                <w:color w:val="auto"/>
                <w:szCs w:val="21"/>
              </w:rPr>
            </w:pPr>
            <w:r>
              <w:rPr>
                <w:rFonts w:hint="eastAsia" w:ascii="Times New Roman" w:hAnsi="Times New Roman" w:eastAsia="仿宋_GB2312"/>
                <w:color w:val="auto"/>
                <w:szCs w:val="21"/>
              </w:rPr>
              <w:t>【文件】《相城区区级政府投资非经营性工程项目集中建设实施单位管理考核办法（试行）》（相集建办〔2022〕4号）</w:t>
            </w:r>
          </w:p>
          <w:p w14:paraId="27F6AB42">
            <w:pPr>
              <w:widowControl/>
              <w:autoSpaceDE w:val="0"/>
              <w:autoSpaceDN w:val="0"/>
              <w:spacing w:line="280" w:lineRule="exact"/>
              <w:ind w:firstLine="420" w:firstLineChars="200"/>
              <w:jc w:val="left"/>
              <w:rPr>
                <w:rFonts w:ascii="Times New Roman" w:hAnsi="Times New Roman" w:eastAsia="仿宋_GB2312"/>
                <w:color w:val="auto"/>
                <w:szCs w:val="21"/>
              </w:rPr>
            </w:pPr>
            <w:r>
              <w:rPr>
                <w:rFonts w:hint="eastAsia" w:ascii="Times New Roman" w:hAnsi="Times New Roman" w:eastAsia="仿宋_GB2312"/>
                <w:color w:val="auto"/>
                <w:szCs w:val="21"/>
              </w:rPr>
              <w:t>第三条 相城区政府投资非经营性工程项目集中建设领导小组办公室（以下简称领导小组办公室）负责对区级集中建设实施单位及其集中建设项目的管理考核。</w:t>
            </w:r>
          </w:p>
        </w:tc>
        <w:tc>
          <w:tcPr>
            <w:tcW w:w="992" w:type="dxa"/>
            <w:tcBorders>
              <w:top w:val="single" w:color="auto" w:sz="4" w:space="0"/>
              <w:left w:val="single" w:color="auto" w:sz="4" w:space="0"/>
              <w:bottom w:val="single" w:color="auto" w:sz="4" w:space="0"/>
              <w:right w:val="single" w:color="auto" w:sz="4" w:space="0"/>
            </w:tcBorders>
            <w:shd w:val="clear" w:color="auto" w:fill="auto"/>
            <w:vAlign w:val="center"/>
          </w:tcPr>
          <w:p w14:paraId="7E62AFF6">
            <w:pPr>
              <w:widowControl/>
              <w:autoSpaceDE w:val="0"/>
              <w:autoSpaceDN w:val="0"/>
              <w:spacing w:line="280" w:lineRule="exact"/>
              <w:jc w:val="center"/>
              <w:rPr>
                <w:rFonts w:ascii="Times New Roman" w:hAnsi="Times New Roman" w:eastAsia="仿宋_GB2312"/>
                <w:color w:val="auto"/>
                <w:szCs w:val="21"/>
              </w:rPr>
            </w:pPr>
            <w:r>
              <w:rPr>
                <w:rFonts w:hint="eastAsia" w:ascii="Times New Roman" w:hAnsi="Times New Roman" w:eastAsia="仿宋_GB2312"/>
                <w:color w:val="auto"/>
                <w:szCs w:val="21"/>
              </w:rPr>
              <w:t>现场</w:t>
            </w:r>
          </w:p>
          <w:p w14:paraId="6F038D9F">
            <w:pPr>
              <w:widowControl/>
              <w:autoSpaceDE w:val="0"/>
              <w:autoSpaceDN w:val="0"/>
              <w:spacing w:line="280" w:lineRule="exact"/>
              <w:jc w:val="center"/>
              <w:rPr>
                <w:rFonts w:ascii="Times New Roman" w:hAnsi="Times New Roman" w:eastAsia="仿宋_GB2312"/>
                <w:color w:val="auto"/>
                <w:szCs w:val="21"/>
              </w:rPr>
            </w:pPr>
            <w:r>
              <w:rPr>
                <w:rFonts w:hint="eastAsia" w:ascii="Times New Roman" w:hAnsi="Times New Roman" w:eastAsia="仿宋_GB2312"/>
                <w:color w:val="auto"/>
                <w:szCs w:val="21"/>
              </w:rPr>
              <w:t>检查</w:t>
            </w:r>
          </w:p>
        </w:tc>
        <w:tc>
          <w:tcPr>
            <w:tcW w:w="1139" w:type="dxa"/>
            <w:tcBorders>
              <w:top w:val="single" w:color="auto" w:sz="4" w:space="0"/>
              <w:left w:val="single" w:color="auto" w:sz="4" w:space="0"/>
              <w:bottom w:val="single" w:color="auto" w:sz="4" w:space="0"/>
              <w:right w:val="single" w:color="auto" w:sz="4" w:space="0"/>
            </w:tcBorders>
            <w:shd w:val="clear" w:color="auto" w:fill="auto"/>
            <w:vAlign w:val="center"/>
          </w:tcPr>
          <w:p w14:paraId="45900743">
            <w:pPr>
              <w:widowControl/>
              <w:autoSpaceDE w:val="0"/>
              <w:autoSpaceDN w:val="0"/>
              <w:spacing w:line="280" w:lineRule="exact"/>
              <w:jc w:val="center"/>
              <w:rPr>
                <w:rFonts w:ascii="Times New Roman" w:hAnsi="Times New Roman" w:eastAsia="仿宋_GB2312"/>
                <w:color w:val="auto"/>
                <w:szCs w:val="21"/>
              </w:rPr>
            </w:pPr>
            <w:r>
              <w:rPr>
                <w:rFonts w:hint="eastAsia" w:ascii="Times New Roman" w:hAnsi="Times New Roman" w:eastAsia="仿宋_GB2312"/>
                <w:color w:val="auto"/>
                <w:szCs w:val="21"/>
              </w:rPr>
              <w:t>1次/年</w:t>
            </w:r>
          </w:p>
        </w:tc>
        <w:tc>
          <w:tcPr>
            <w:tcW w:w="1491" w:type="dxa"/>
            <w:tcBorders>
              <w:top w:val="single" w:color="auto" w:sz="4" w:space="0"/>
              <w:left w:val="single" w:color="auto" w:sz="4" w:space="0"/>
              <w:bottom w:val="single" w:color="auto" w:sz="4" w:space="0"/>
              <w:right w:val="single" w:color="auto" w:sz="4" w:space="0"/>
            </w:tcBorders>
            <w:shd w:val="clear" w:color="auto" w:fill="auto"/>
            <w:vAlign w:val="center"/>
          </w:tcPr>
          <w:p w14:paraId="31392C68">
            <w:pPr>
              <w:widowControl/>
              <w:autoSpaceDE w:val="0"/>
              <w:autoSpaceDN w:val="0"/>
              <w:spacing w:line="280" w:lineRule="exact"/>
              <w:jc w:val="center"/>
              <w:rPr>
                <w:rFonts w:ascii="Times New Roman" w:hAnsi="Times New Roman" w:eastAsia="仿宋_GB2312"/>
                <w:color w:val="auto"/>
                <w:szCs w:val="21"/>
              </w:rPr>
            </w:pPr>
          </w:p>
        </w:tc>
        <w:tc>
          <w:tcPr>
            <w:tcW w:w="1481" w:type="dxa"/>
            <w:tcBorders>
              <w:top w:val="single" w:color="auto" w:sz="4" w:space="0"/>
              <w:left w:val="single" w:color="auto" w:sz="4" w:space="0"/>
              <w:bottom w:val="single" w:color="auto" w:sz="4" w:space="0"/>
              <w:right w:val="single" w:color="auto" w:sz="4" w:space="0"/>
            </w:tcBorders>
            <w:shd w:val="clear" w:color="auto" w:fill="auto"/>
            <w:vAlign w:val="center"/>
          </w:tcPr>
          <w:p w14:paraId="350F5F3B">
            <w:pPr>
              <w:widowControl/>
              <w:autoSpaceDE w:val="0"/>
              <w:autoSpaceDN w:val="0"/>
              <w:spacing w:line="280" w:lineRule="exact"/>
              <w:jc w:val="center"/>
              <w:rPr>
                <w:rFonts w:ascii="Times New Roman" w:hAnsi="Times New Roman" w:eastAsia="仿宋_GB2312"/>
                <w:color w:val="auto"/>
                <w:szCs w:val="21"/>
              </w:rPr>
            </w:pPr>
          </w:p>
        </w:tc>
        <w:tc>
          <w:tcPr>
            <w:tcW w:w="622" w:type="dxa"/>
            <w:tcBorders>
              <w:top w:val="single" w:color="auto" w:sz="4" w:space="0"/>
              <w:left w:val="single" w:color="auto" w:sz="4" w:space="0"/>
              <w:bottom w:val="single" w:color="auto" w:sz="4" w:space="0"/>
              <w:right w:val="single" w:color="auto" w:sz="4" w:space="0"/>
            </w:tcBorders>
            <w:shd w:val="clear" w:color="auto" w:fill="auto"/>
            <w:vAlign w:val="center"/>
          </w:tcPr>
          <w:p w14:paraId="20914028">
            <w:pPr>
              <w:keepNext w:val="0"/>
              <w:keepLines w:val="0"/>
              <w:pageBreakBefore w:val="0"/>
              <w:widowControl w:val="0"/>
              <w:kinsoku/>
              <w:wordWrap/>
              <w:overflowPunct/>
              <w:topLinePunct w:val="0"/>
              <w:autoSpaceDE/>
              <w:autoSpaceDN/>
              <w:bidi w:val="0"/>
              <w:adjustRightInd/>
              <w:snapToGrid/>
              <w:spacing w:line="200" w:lineRule="exact"/>
              <w:jc w:val="both"/>
              <w:textAlignment w:val="auto"/>
              <w:rPr>
                <w:rFonts w:hint="default" w:ascii="Times New Roman" w:hAnsi="Times New Roman" w:eastAsia="仿宋_GB2312"/>
                <w:color w:val="auto"/>
                <w:kern w:val="0"/>
                <w:szCs w:val="21"/>
                <w:lang w:val="en-US" w:eastAsia="zh-CN"/>
              </w:rPr>
            </w:pPr>
            <w:r>
              <w:rPr>
                <w:rFonts w:hint="eastAsia" w:ascii="Times New Roman" w:hAnsi="Times New Roman" w:eastAsia="仿宋_GB2312"/>
                <w:color w:val="auto"/>
                <w:kern w:val="0"/>
                <w:sz w:val="18"/>
                <w:szCs w:val="18"/>
                <w:lang w:val="en-US" w:eastAsia="zh-CN"/>
              </w:rPr>
              <w:t>因机构优化调整，不再保留该领导小组办公室，相关工作由区住建局会同区有关部门按职责分工承担。</w:t>
            </w:r>
          </w:p>
        </w:tc>
      </w:tr>
      <w:tr w14:paraId="01DA1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6" w:type="dxa"/>
            <w:tcBorders>
              <w:top w:val="single" w:color="auto" w:sz="4" w:space="0"/>
              <w:left w:val="single" w:color="auto" w:sz="4" w:space="0"/>
              <w:bottom w:val="single" w:color="auto" w:sz="4" w:space="0"/>
              <w:right w:val="single" w:color="auto" w:sz="4" w:space="0"/>
            </w:tcBorders>
            <w:shd w:val="clear" w:color="auto" w:fill="auto"/>
            <w:vAlign w:val="center"/>
          </w:tcPr>
          <w:p w14:paraId="4E01D976">
            <w:pPr>
              <w:widowControl/>
              <w:autoSpaceDE w:val="0"/>
              <w:autoSpaceDN w:val="0"/>
              <w:spacing w:line="280" w:lineRule="exact"/>
              <w:jc w:val="center"/>
              <w:rPr>
                <w:rFonts w:ascii="Times New Roman" w:hAnsi="Times New Roman" w:eastAsia="仿宋_GB2312"/>
                <w:color w:val="auto"/>
                <w:szCs w:val="21"/>
              </w:rPr>
            </w:pPr>
            <w:r>
              <w:rPr>
                <w:rFonts w:hint="eastAsia" w:ascii="Times New Roman" w:hAnsi="Times New Roman" w:eastAsia="仿宋_GB2312"/>
                <w:color w:val="auto"/>
                <w:szCs w:val="21"/>
              </w:rPr>
              <w:t>2</w:t>
            </w:r>
          </w:p>
        </w:tc>
        <w:tc>
          <w:tcPr>
            <w:tcW w:w="1324" w:type="dxa"/>
            <w:tcBorders>
              <w:top w:val="single" w:color="auto" w:sz="4" w:space="0"/>
              <w:left w:val="single" w:color="auto" w:sz="4" w:space="0"/>
              <w:bottom w:val="single" w:color="auto" w:sz="4" w:space="0"/>
              <w:right w:val="single" w:color="auto" w:sz="4" w:space="0"/>
            </w:tcBorders>
            <w:shd w:val="clear" w:color="auto" w:fill="auto"/>
            <w:vAlign w:val="center"/>
          </w:tcPr>
          <w:p w14:paraId="33F2B3AD">
            <w:pPr>
              <w:widowControl/>
              <w:autoSpaceDE w:val="0"/>
              <w:autoSpaceDN w:val="0"/>
              <w:spacing w:line="280" w:lineRule="exact"/>
              <w:jc w:val="left"/>
              <w:rPr>
                <w:rFonts w:ascii="Times New Roman" w:hAnsi="Times New Roman" w:eastAsia="仿宋_GB2312"/>
                <w:color w:val="auto"/>
                <w:szCs w:val="21"/>
              </w:rPr>
            </w:pPr>
            <w:r>
              <w:rPr>
                <w:rFonts w:hint="eastAsia" w:ascii="Times New Roman" w:hAnsi="Times New Roman" w:eastAsia="仿宋_GB2312"/>
                <w:color w:val="auto"/>
                <w:szCs w:val="21"/>
              </w:rPr>
              <w:t>对集中建设实施单位及政府投资非经营性项目情况的检查</w:t>
            </w:r>
          </w:p>
        </w:tc>
        <w:tc>
          <w:tcPr>
            <w:tcW w:w="794" w:type="dxa"/>
            <w:tcBorders>
              <w:top w:val="single" w:color="auto" w:sz="4" w:space="0"/>
              <w:left w:val="single" w:color="auto" w:sz="4" w:space="0"/>
              <w:bottom w:val="single" w:color="auto" w:sz="4" w:space="0"/>
              <w:right w:val="single" w:color="auto" w:sz="4" w:space="0"/>
            </w:tcBorders>
            <w:shd w:val="clear" w:color="auto" w:fill="auto"/>
            <w:vAlign w:val="center"/>
          </w:tcPr>
          <w:p w14:paraId="1231DD36">
            <w:pPr>
              <w:widowControl/>
              <w:autoSpaceDE w:val="0"/>
              <w:autoSpaceDN w:val="0"/>
              <w:spacing w:line="280" w:lineRule="exact"/>
              <w:jc w:val="center"/>
              <w:rPr>
                <w:rFonts w:ascii="Times New Roman" w:hAnsi="Times New Roman" w:eastAsia="仿宋_GB2312"/>
                <w:color w:val="auto"/>
                <w:szCs w:val="21"/>
              </w:rPr>
            </w:pPr>
            <w:r>
              <w:rPr>
                <w:rFonts w:hint="eastAsia" w:ascii="Times New Roman" w:hAnsi="Times New Roman" w:eastAsia="仿宋_GB2312"/>
                <w:color w:val="auto"/>
                <w:szCs w:val="21"/>
              </w:rPr>
              <w:t>苏州市相城区住房和城乡建设局</w:t>
            </w:r>
          </w:p>
        </w:tc>
        <w:tc>
          <w:tcPr>
            <w:tcW w:w="872" w:type="dxa"/>
            <w:tcBorders>
              <w:top w:val="single" w:color="auto" w:sz="4" w:space="0"/>
              <w:left w:val="single" w:color="auto" w:sz="4" w:space="0"/>
              <w:bottom w:val="single" w:color="auto" w:sz="4" w:space="0"/>
              <w:right w:val="single" w:color="auto" w:sz="4" w:space="0"/>
            </w:tcBorders>
            <w:shd w:val="clear" w:color="auto" w:fill="auto"/>
            <w:vAlign w:val="center"/>
          </w:tcPr>
          <w:p w14:paraId="17015FA2">
            <w:pPr>
              <w:widowControl/>
              <w:autoSpaceDE w:val="0"/>
              <w:autoSpaceDN w:val="0"/>
              <w:spacing w:line="280" w:lineRule="exact"/>
              <w:jc w:val="left"/>
              <w:rPr>
                <w:rFonts w:ascii="Times New Roman" w:hAnsi="Times New Roman" w:eastAsia="仿宋_GB2312"/>
                <w:color w:val="auto"/>
                <w:szCs w:val="21"/>
              </w:rPr>
            </w:pPr>
            <w:r>
              <w:rPr>
                <w:rFonts w:hint="eastAsia" w:ascii="Times New Roman" w:hAnsi="Times New Roman" w:eastAsia="仿宋_GB2312"/>
                <w:color w:val="auto"/>
                <w:szCs w:val="21"/>
              </w:rPr>
              <w:t>相城区政府投资非经营性工程项目集中建设领导小组办公室</w:t>
            </w:r>
          </w:p>
        </w:tc>
        <w:tc>
          <w:tcPr>
            <w:tcW w:w="869" w:type="dxa"/>
            <w:tcBorders>
              <w:top w:val="single" w:color="auto" w:sz="4" w:space="0"/>
              <w:left w:val="single" w:color="auto" w:sz="4" w:space="0"/>
              <w:bottom w:val="single" w:color="auto" w:sz="4" w:space="0"/>
              <w:right w:val="single" w:color="auto" w:sz="4" w:space="0"/>
            </w:tcBorders>
            <w:shd w:val="clear" w:color="auto" w:fill="auto"/>
            <w:vAlign w:val="center"/>
          </w:tcPr>
          <w:p w14:paraId="73665865">
            <w:pPr>
              <w:widowControl/>
              <w:autoSpaceDE w:val="0"/>
              <w:autoSpaceDN w:val="0"/>
              <w:spacing w:line="280" w:lineRule="exact"/>
              <w:jc w:val="left"/>
              <w:rPr>
                <w:rFonts w:ascii="Times New Roman" w:hAnsi="Times New Roman" w:eastAsia="仿宋_GB2312"/>
                <w:color w:val="auto"/>
                <w:szCs w:val="21"/>
              </w:rPr>
            </w:pPr>
            <w:r>
              <w:rPr>
                <w:rFonts w:hint="eastAsia" w:ascii="Times New Roman" w:hAnsi="Times New Roman" w:eastAsia="仿宋_GB2312"/>
                <w:color w:val="auto"/>
                <w:szCs w:val="21"/>
              </w:rPr>
              <w:t>区级集中建设实施单位与区级政府投资非经营性项目</w:t>
            </w:r>
          </w:p>
        </w:tc>
        <w:tc>
          <w:tcPr>
            <w:tcW w:w="4962" w:type="dxa"/>
            <w:tcBorders>
              <w:top w:val="single" w:color="auto" w:sz="4" w:space="0"/>
              <w:left w:val="single" w:color="auto" w:sz="4" w:space="0"/>
              <w:bottom w:val="single" w:color="auto" w:sz="4" w:space="0"/>
              <w:right w:val="single" w:color="auto" w:sz="4" w:space="0"/>
            </w:tcBorders>
            <w:shd w:val="clear" w:color="auto" w:fill="auto"/>
            <w:vAlign w:val="center"/>
          </w:tcPr>
          <w:p w14:paraId="5D1D7A93">
            <w:pPr>
              <w:widowControl/>
              <w:autoSpaceDE w:val="0"/>
              <w:autoSpaceDN w:val="0"/>
              <w:spacing w:line="280" w:lineRule="exact"/>
              <w:ind w:firstLine="420" w:firstLineChars="200"/>
              <w:jc w:val="left"/>
              <w:rPr>
                <w:rFonts w:ascii="Times New Roman" w:hAnsi="Times New Roman" w:eastAsia="仿宋_GB2312"/>
                <w:color w:val="auto"/>
                <w:szCs w:val="21"/>
              </w:rPr>
            </w:pPr>
            <w:r>
              <w:rPr>
                <w:rFonts w:hint="eastAsia" w:ascii="Times New Roman" w:hAnsi="Times New Roman" w:eastAsia="仿宋_GB2312"/>
                <w:color w:val="auto"/>
                <w:szCs w:val="21"/>
              </w:rPr>
              <w:t>第七条 管理考核采用百分制，由现场检查、日常抽查、年度单位考核、项目使用单位满意度和年度承接项目总投资额情况五个部分组成，年终领导小组办公室根据《集中建设实施单位评价等级表》（附件1），计算集中建设实施单位年度综合得分。</w:t>
            </w:r>
          </w:p>
          <w:p w14:paraId="38DC3DFD">
            <w:pPr>
              <w:widowControl/>
              <w:autoSpaceDE w:val="0"/>
              <w:autoSpaceDN w:val="0"/>
              <w:spacing w:line="280" w:lineRule="exact"/>
              <w:jc w:val="left"/>
              <w:rPr>
                <w:rFonts w:ascii="Times New Roman" w:hAnsi="Times New Roman" w:eastAsia="仿宋_GB2312"/>
                <w:color w:val="auto"/>
                <w:szCs w:val="21"/>
              </w:rPr>
            </w:pPr>
            <w:r>
              <w:rPr>
                <w:rFonts w:hint="eastAsia" w:ascii="Times New Roman" w:hAnsi="Times New Roman" w:eastAsia="仿宋_GB2312"/>
                <w:color w:val="auto"/>
                <w:szCs w:val="21"/>
              </w:rPr>
              <w:t>年度综合得分=【项目现场检查得分】×50%+【年度单位考核得分】×30%+【日常抽查得分】×10%+【项目使用单位满意度得分】×5%+【年度承接项目总投资额情况得分】×5%</w:t>
            </w:r>
          </w:p>
        </w:tc>
        <w:tc>
          <w:tcPr>
            <w:tcW w:w="992" w:type="dxa"/>
            <w:tcBorders>
              <w:top w:val="single" w:color="auto" w:sz="4" w:space="0"/>
              <w:left w:val="single" w:color="auto" w:sz="4" w:space="0"/>
              <w:bottom w:val="single" w:color="auto" w:sz="4" w:space="0"/>
              <w:right w:val="single" w:color="auto" w:sz="4" w:space="0"/>
            </w:tcBorders>
            <w:shd w:val="clear" w:color="auto" w:fill="auto"/>
            <w:vAlign w:val="center"/>
          </w:tcPr>
          <w:p w14:paraId="20D8466A">
            <w:pPr>
              <w:widowControl/>
              <w:autoSpaceDE w:val="0"/>
              <w:autoSpaceDN w:val="0"/>
              <w:spacing w:line="280" w:lineRule="exact"/>
              <w:jc w:val="center"/>
              <w:rPr>
                <w:rFonts w:ascii="Times New Roman" w:hAnsi="Times New Roman" w:eastAsia="仿宋_GB2312"/>
                <w:color w:val="auto"/>
                <w:szCs w:val="21"/>
              </w:rPr>
            </w:pPr>
            <w:r>
              <w:rPr>
                <w:rFonts w:hint="eastAsia" w:ascii="Times New Roman" w:hAnsi="Times New Roman" w:eastAsia="仿宋_GB2312"/>
                <w:color w:val="auto"/>
                <w:szCs w:val="21"/>
              </w:rPr>
              <w:t>现场</w:t>
            </w:r>
          </w:p>
          <w:p w14:paraId="451E7AE3">
            <w:pPr>
              <w:widowControl/>
              <w:autoSpaceDE w:val="0"/>
              <w:autoSpaceDN w:val="0"/>
              <w:spacing w:line="280" w:lineRule="exact"/>
              <w:jc w:val="center"/>
              <w:rPr>
                <w:rFonts w:ascii="Times New Roman" w:hAnsi="Times New Roman" w:eastAsia="仿宋_GB2312"/>
                <w:color w:val="auto"/>
                <w:szCs w:val="21"/>
              </w:rPr>
            </w:pPr>
            <w:r>
              <w:rPr>
                <w:rFonts w:hint="eastAsia" w:ascii="Times New Roman" w:hAnsi="Times New Roman" w:eastAsia="仿宋_GB2312"/>
                <w:color w:val="auto"/>
                <w:szCs w:val="21"/>
              </w:rPr>
              <w:t>检查</w:t>
            </w:r>
          </w:p>
        </w:tc>
        <w:tc>
          <w:tcPr>
            <w:tcW w:w="1139" w:type="dxa"/>
            <w:tcBorders>
              <w:top w:val="single" w:color="auto" w:sz="4" w:space="0"/>
              <w:left w:val="single" w:color="auto" w:sz="4" w:space="0"/>
              <w:bottom w:val="single" w:color="auto" w:sz="4" w:space="0"/>
              <w:right w:val="single" w:color="auto" w:sz="4" w:space="0"/>
            </w:tcBorders>
            <w:shd w:val="clear" w:color="auto" w:fill="auto"/>
            <w:vAlign w:val="center"/>
          </w:tcPr>
          <w:p w14:paraId="5BB4442B">
            <w:pPr>
              <w:widowControl/>
              <w:autoSpaceDE w:val="0"/>
              <w:autoSpaceDN w:val="0"/>
              <w:spacing w:line="280" w:lineRule="exact"/>
              <w:jc w:val="center"/>
              <w:rPr>
                <w:rFonts w:ascii="Times New Roman" w:hAnsi="Times New Roman" w:eastAsia="仿宋_GB2312"/>
                <w:color w:val="auto"/>
                <w:szCs w:val="21"/>
              </w:rPr>
            </w:pPr>
            <w:r>
              <w:rPr>
                <w:rFonts w:hint="eastAsia" w:ascii="Times New Roman" w:hAnsi="Times New Roman" w:eastAsia="仿宋_GB2312"/>
                <w:color w:val="auto"/>
                <w:szCs w:val="21"/>
              </w:rPr>
              <w:t>1次/年</w:t>
            </w:r>
          </w:p>
        </w:tc>
        <w:tc>
          <w:tcPr>
            <w:tcW w:w="1491" w:type="dxa"/>
            <w:tcBorders>
              <w:top w:val="single" w:color="auto" w:sz="4" w:space="0"/>
              <w:left w:val="single" w:color="auto" w:sz="4" w:space="0"/>
              <w:bottom w:val="single" w:color="auto" w:sz="4" w:space="0"/>
              <w:right w:val="single" w:color="auto" w:sz="4" w:space="0"/>
            </w:tcBorders>
            <w:shd w:val="clear" w:color="auto" w:fill="auto"/>
            <w:vAlign w:val="center"/>
          </w:tcPr>
          <w:p w14:paraId="0C23DAA8">
            <w:pPr>
              <w:widowControl/>
              <w:autoSpaceDE w:val="0"/>
              <w:autoSpaceDN w:val="0"/>
              <w:spacing w:line="280" w:lineRule="exact"/>
              <w:jc w:val="center"/>
              <w:rPr>
                <w:rFonts w:ascii="Times New Roman" w:hAnsi="Times New Roman" w:eastAsia="仿宋_GB2312"/>
                <w:color w:val="auto"/>
                <w:szCs w:val="21"/>
              </w:rPr>
            </w:pPr>
          </w:p>
        </w:tc>
        <w:tc>
          <w:tcPr>
            <w:tcW w:w="1481" w:type="dxa"/>
            <w:tcBorders>
              <w:top w:val="single" w:color="auto" w:sz="4" w:space="0"/>
              <w:left w:val="single" w:color="auto" w:sz="4" w:space="0"/>
              <w:bottom w:val="single" w:color="auto" w:sz="4" w:space="0"/>
              <w:right w:val="single" w:color="auto" w:sz="4" w:space="0"/>
            </w:tcBorders>
            <w:shd w:val="clear" w:color="auto" w:fill="auto"/>
            <w:vAlign w:val="center"/>
          </w:tcPr>
          <w:p w14:paraId="459BDC07">
            <w:pPr>
              <w:widowControl/>
              <w:autoSpaceDE w:val="0"/>
              <w:autoSpaceDN w:val="0"/>
              <w:spacing w:line="280" w:lineRule="exact"/>
              <w:jc w:val="center"/>
              <w:rPr>
                <w:rFonts w:ascii="Times New Roman" w:hAnsi="Times New Roman" w:eastAsia="仿宋_GB2312"/>
                <w:color w:val="auto"/>
                <w:szCs w:val="21"/>
              </w:rPr>
            </w:pPr>
          </w:p>
        </w:tc>
        <w:tc>
          <w:tcPr>
            <w:tcW w:w="622" w:type="dxa"/>
            <w:tcBorders>
              <w:top w:val="single" w:color="auto" w:sz="4" w:space="0"/>
              <w:left w:val="single" w:color="auto" w:sz="4" w:space="0"/>
              <w:bottom w:val="single" w:color="auto" w:sz="4" w:space="0"/>
              <w:right w:val="single" w:color="auto" w:sz="4" w:space="0"/>
            </w:tcBorders>
            <w:shd w:val="clear" w:color="auto" w:fill="auto"/>
            <w:vAlign w:val="center"/>
          </w:tcPr>
          <w:p w14:paraId="54488A5E">
            <w:pPr>
              <w:spacing w:line="280" w:lineRule="exact"/>
              <w:jc w:val="center"/>
              <w:rPr>
                <w:rFonts w:hint="eastAsia" w:ascii="Times New Roman" w:hAnsi="Times New Roman" w:eastAsia="仿宋_GB2312"/>
                <w:color w:val="auto"/>
                <w:kern w:val="0"/>
                <w:szCs w:val="21"/>
                <w:lang w:val="en-US" w:eastAsia="zh-CN"/>
              </w:rPr>
            </w:pPr>
            <w:r>
              <w:rPr>
                <w:rFonts w:hint="eastAsia" w:ascii="Times New Roman" w:hAnsi="Times New Roman" w:eastAsia="仿宋_GB2312"/>
                <w:color w:val="auto"/>
                <w:kern w:val="0"/>
                <w:szCs w:val="21"/>
                <w:lang w:val="en-US" w:eastAsia="zh-CN"/>
              </w:rPr>
              <w:t>同上</w:t>
            </w:r>
          </w:p>
        </w:tc>
      </w:tr>
      <w:tr w14:paraId="752A87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6" w:type="dxa"/>
            <w:tcBorders>
              <w:top w:val="single" w:color="auto" w:sz="4" w:space="0"/>
              <w:left w:val="single" w:color="auto" w:sz="4" w:space="0"/>
              <w:bottom w:val="single" w:color="auto" w:sz="4" w:space="0"/>
              <w:right w:val="single" w:color="auto" w:sz="4" w:space="0"/>
            </w:tcBorders>
            <w:shd w:val="clear" w:color="auto" w:fill="auto"/>
            <w:vAlign w:val="center"/>
          </w:tcPr>
          <w:p w14:paraId="181F9DAB">
            <w:pPr>
              <w:widowControl/>
              <w:autoSpaceDE w:val="0"/>
              <w:autoSpaceDN w:val="0"/>
              <w:spacing w:line="280" w:lineRule="exact"/>
              <w:jc w:val="center"/>
              <w:rPr>
                <w:rFonts w:ascii="Times New Roman" w:hAnsi="Times New Roman" w:eastAsia="仿宋_GB2312"/>
                <w:color w:val="auto"/>
                <w:szCs w:val="21"/>
              </w:rPr>
            </w:pPr>
            <w:r>
              <w:rPr>
                <w:rFonts w:hint="eastAsia" w:ascii="Times New Roman" w:hAnsi="Times New Roman" w:eastAsia="仿宋_GB2312"/>
                <w:color w:val="auto"/>
                <w:szCs w:val="21"/>
              </w:rPr>
              <w:t>3</w:t>
            </w:r>
          </w:p>
        </w:tc>
        <w:tc>
          <w:tcPr>
            <w:tcW w:w="1324" w:type="dxa"/>
            <w:tcBorders>
              <w:top w:val="single" w:color="auto" w:sz="4" w:space="0"/>
              <w:left w:val="single" w:color="auto" w:sz="4" w:space="0"/>
              <w:bottom w:val="single" w:color="auto" w:sz="4" w:space="0"/>
              <w:right w:val="single" w:color="auto" w:sz="4" w:space="0"/>
            </w:tcBorders>
            <w:shd w:val="clear" w:color="auto" w:fill="auto"/>
            <w:vAlign w:val="center"/>
          </w:tcPr>
          <w:p w14:paraId="60D1CEF8">
            <w:pPr>
              <w:widowControl/>
              <w:autoSpaceDE w:val="0"/>
              <w:autoSpaceDN w:val="0"/>
              <w:spacing w:line="280" w:lineRule="exact"/>
              <w:jc w:val="left"/>
              <w:rPr>
                <w:rFonts w:ascii="Times New Roman" w:hAnsi="Times New Roman" w:eastAsia="仿宋_GB2312"/>
                <w:color w:val="auto"/>
                <w:szCs w:val="21"/>
              </w:rPr>
            </w:pPr>
            <w:r>
              <w:rPr>
                <w:rFonts w:hint="eastAsia" w:ascii="Times New Roman" w:hAnsi="Times New Roman" w:eastAsia="仿宋_GB2312"/>
                <w:color w:val="auto"/>
                <w:szCs w:val="21"/>
              </w:rPr>
              <w:t>对建设工程项目勘察、设计、施工、监理及与工程建设有关的重要设备、材料采购的招标投标活动的行政监督和对招标代理机构的行政检查</w:t>
            </w:r>
          </w:p>
        </w:tc>
        <w:tc>
          <w:tcPr>
            <w:tcW w:w="794" w:type="dxa"/>
            <w:tcBorders>
              <w:top w:val="single" w:color="auto" w:sz="4" w:space="0"/>
              <w:left w:val="single" w:color="auto" w:sz="4" w:space="0"/>
              <w:bottom w:val="single" w:color="auto" w:sz="4" w:space="0"/>
              <w:right w:val="single" w:color="auto" w:sz="4" w:space="0"/>
            </w:tcBorders>
            <w:shd w:val="clear" w:color="auto" w:fill="auto"/>
            <w:vAlign w:val="center"/>
          </w:tcPr>
          <w:p w14:paraId="4BD7366E">
            <w:pPr>
              <w:widowControl/>
              <w:autoSpaceDE w:val="0"/>
              <w:autoSpaceDN w:val="0"/>
              <w:spacing w:line="280" w:lineRule="exact"/>
              <w:jc w:val="center"/>
              <w:rPr>
                <w:rFonts w:ascii="Times New Roman" w:hAnsi="Times New Roman" w:eastAsia="仿宋_GB2312"/>
                <w:color w:val="auto"/>
                <w:szCs w:val="21"/>
              </w:rPr>
            </w:pPr>
            <w:r>
              <w:rPr>
                <w:rFonts w:hint="eastAsia" w:ascii="Times New Roman" w:hAnsi="Times New Roman" w:eastAsia="仿宋_GB2312"/>
                <w:color w:val="auto"/>
                <w:szCs w:val="21"/>
              </w:rPr>
              <w:t>苏州市相城区住房和城乡建设局</w:t>
            </w:r>
          </w:p>
        </w:tc>
        <w:tc>
          <w:tcPr>
            <w:tcW w:w="872" w:type="dxa"/>
            <w:tcBorders>
              <w:top w:val="single" w:color="auto" w:sz="4" w:space="0"/>
              <w:left w:val="single" w:color="auto" w:sz="4" w:space="0"/>
              <w:bottom w:val="single" w:color="auto" w:sz="4" w:space="0"/>
              <w:right w:val="single" w:color="auto" w:sz="4" w:space="0"/>
            </w:tcBorders>
            <w:shd w:val="clear" w:color="auto" w:fill="auto"/>
            <w:vAlign w:val="center"/>
          </w:tcPr>
          <w:p w14:paraId="5F1D7EF1">
            <w:pPr>
              <w:widowControl/>
              <w:autoSpaceDE w:val="0"/>
              <w:autoSpaceDN w:val="0"/>
              <w:spacing w:line="280" w:lineRule="exact"/>
              <w:jc w:val="left"/>
              <w:rPr>
                <w:rFonts w:ascii="Times New Roman" w:hAnsi="Times New Roman" w:eastAsia="仿宋_GB2312"/>
                <w:color w:val="auto"/>
                <w:szCs w:val="21"/>
              </w:rPr>
            </w:pPr>
            <w:r>
              <w:rPr>
                <w:rFonts w:hint="eastAsia" w:ascii="Times New Roman" w:hAnsi="Times New Roman" w:eastAsia="仿宋_GB2312"/>
                <w:color w:val="auto"/>
                <w:szCs w:val="21"/>
              </w:rPr>
              <w:t>相城区招投标管理服务中心</w:t>
            </w:r>
          </w:p>
        </w:tc>
        <w:tc>
          <w:tcPr>
            <w:tcW w:w="869" w:type="dxa"/>
            <w:tcBorders>
              <w:top w:val="single" w:color="auto" w:sz="4" w:space="0"/>
              <w:left w:val="single" w:color="auto" w:sz="4" w:space="0"/>
              <w:bottom w:val="single" w:color="auto" w:sz="4" w:space="0"/>
              <w:right w:val="single" w:color="auto" w:sz="4" w:space="0"/>
            </w:tcBorders>
            <w:shd w:val="clear" w:color="auto" w:fill="auto"/>
            <w:vAlign w:val="center"/>
          </w:tcPr>
          <w:p w14:paraId="57866755">
            <w:pPr>
              <w:widowControl/>
              <w:autoSpaceDE w:val="0"/>
              <w:autoSpaceDN w:val="0"/>
              <w:spacing w:line="280" w:lineRule="exact"/>
              <w:jc w:val="left"/>
              <w:rPr>
                <w:rFonts w:ascii="Times New Roman" w:hAnsi="Times New Roman" w:eastAsia="仿宋_GB2312"/>
                <w:color w:val="auto"/>
                <w:szCs w:val="21"/>
              </w:rPr>
            </w:pPr>
            <w:r>
              <w:rPr>
                <w:rFonts w:hint="eastAsia" w:ascii="Times New Roman" w:hAnsi="Times New Roman" w:eastAsia="仿宋_GB2312"/>
                <w:color w:val="auto"/>
                <w:szCs w:val="21"/>
              </w:rPr>
              <w:t>招标人、招标代理机构、投标人、中标人、评标委员会</w:t>
            </w:r>
          </w:p>
        </w:tc>
        <w:tc>
          <w:tcPr>
            <w:tcW w:w="4962" w:type="dxa"/>
            <w:tcBorders>
              <w:top w:val="single" w:color="auto" w:sz="4" w:space="0"/>
              <w:left w:val="single" w:color="auto" w:sz="4" w:space="0"/>
              <w:bottom w:val="single" w:color="auto" w:sz="4" w:space="0"/>
              <w:right w:val="single" w:color="auto" w:sz="4" w:space="0"/>
            </w:tcBorders>
            <w:shd w:val="clear" w:color="auto" w:fill="auto"/>
            <w:vAlign w:val="center"/>
          </w:tcPr>
          <w:p w14:paraId="2D69D852">
            <w:pPr>
              <w:widowControl/>
              <w:autoSpaceDE w:val="0"/>
              <w:autoSpaceDN w:val="0"/>
              <w:spacing w:line="280" w:lineRule="exact"/>
              <w:jc w:val="left"/>
              <w:rPr>
                <w:rFonts w:ascii="Times New Roman" w:hAnsi="Times New Roman" w:eastAsia="仿宋_GB2312"/>
                <w:color w:val="auto"/>
                <w:szCs w:val="21"/>
              </w:rPr>
            </w:pPr>
            <w:r>
              <w:rPr>
                <w:rFonts w:hint="eastAsia" w:ascii="Times New Roman" w:hAnsi="Times New Roman" w:eastAsia="仿宋_GB2312"/>
                <w:color w:val="auto"/>
                <w:szCs w:val="21"/>
              </w:rPr>
              <w:t>【法</w:t>
            </w:r>
            <w:r>
              <w:rPr>
                <w:rFonts w:hint="eastAsia" w:ascii="Times New Roman" w:hAnsi="Times New Roman" w:eastAsia="仿宋_GB2312"/>
                <w:color w:val="auto"/>
                <w:szCs w:val="21"/>
                <w:lang w:val="en-US" w:eastAsia="zh-CN"/>
              </w:rPr>
              <w:t>律</w:t>
            </w:r>
            <w:r>
              <w:rPr>
                <w:rFonts w:hint="eastAsia" w:ascii="Times New Roman" w:hAnsi="Times New Roman" w:eastAsia="仿宋_GB2312"/>
                <w:color w:val="auto"/>
                <w:szCs w:val="21"/>
              </w:rPr>
              <w:t>】《中华人民共和国招标投标法》</w:t>
            </w:r>
          </w:p>
          <w:p w14:paraId="68155314">
            <w:pPr>
              <w:widowControl/>
              <w:autoSpaceDE w:val="0"/>
              <w:autoSpaceDN w:val="0"/>
              <w:spacing w:line="280" w:lineRule="exact"/>
              <w:jc w:val="left"/>
              <w:rPr>
                <w:rFonts w:ascii="Times New Roman" w:hAnsi="Times New Roman" w:eastAsia="仿宋_GB2312"/>
                <w:color w:val="auto"/>
                <w:szCs w:val="21"/>
              </w:rPr>
            </w:pPr>
            <w:r>
              <w:rPr>
                <w:rFonts w:hint="eastAsia" w:ascii="Times New Roman" w:hAnsi="Times New Roman" w:eastAsia="仿宋_GB2312"/>
                <w:color w:val="auto"/>
                <w:szCs w:val="21"/>
              </w:rPr>
              <w:t xml:space="preserve">    第七条  招标投标活动及其当事人应当接受依法实施的监督。有关行政监督部门依法对招标投标活动实施监督，依法查处招标投标活动中的违法行为。对招标投标活动的行政监督及有关部门的具体职权划分，由国务院规定。</w:t>
            </w:r>
          </w:p>
          <w:p w14:paraId="1B14B9D3">
            <w:pPr>
              <w:widowControl/>
              <w:autoSpaceDE w:val="0"/>
              <w:autoSpaceDN w:val="0"/>
              <w:spacing w:line="280" w:lineRule="exact"/>
              <w:jc w:val="left"/>
              <w:rPr>
                <w:rFonts w:ascii="Times New Roman" w:hAnsi="Times New Roman" w:eastAsia="仿宋_GB2312"/>
                <w:color w:val="auto"/>
                <w:szCs w:val="21"/>
              </w:rPr>
            </w:pPr>
            <w:r>
              <w:rPr>
                <w:rFonts w:hint="eastAsia" w:ascii="Times New Roman" w:hAnsi="Times New Roman" w:eastAsia="仿宋_GB2312"/>
                <w:color w:val="auto"/>
                <w:szCs w:val="21"/>
              </w:rPr>
              <w:t>【法规】《中华人民共和国招标投标法实施条例》</w:t>
            </w:r>
          </w:p>
          <w:p w14:paraId="124DCAE9">
            <w:pPr>
              <w:widowControl/>
              <w:autoSpaceDE w:val="0"/>
              <w:autoSpaceDN w:val="0"/>
              <w:spacing w:line="280" w:lineRule="exact"/>
              <w:jc w:val="left"/>
              <w:rPr>
                <w:rFonts w:ascii="Times New Roman" w:hAnsi="Times New Roman" w:eastAsia="仿宋_GB2312"/>
                <w:color w:val="auto"/>
                <w:szCs w:val="21"/>
              </w:rPr>
            </w:pPr>
            <w:r>
              <w:rPr>
                <w:rFonts w:hint="eastAsia" w:ascii="Times New Roman" w:hAnsi="Times New Roman" w:eastAsia="仿宋_GB2312"/>
                <w:color w:val="auto"/>
                <w:szCs w:val="21"/>
              </w:rPr>
              <w:t xml:space="preserve">    第四条  国务院发展改革部门指导和协调全国招标投标工作，对国家重大建设项目的工程招标投标活动实施监督检查。国务院工业和信息化、住房城乡建设、交通运输、铁道、水利、商务等部门，按照规定的职责分工对有关招标投标活动实施监督。县级以上地方人民政府发展改革部门指导和协调本行政区域的招标投标工作。县级以上地方人民政府有关部门按照规定的职责分工，对招标投标活动实施监督，依法查处招标投标活动中的违法行为。县级以上地方人民政府对其所属部门有关招标投标活动的监督职责分工另有规定的，从其规定。</w:t>
            </w:r>
          </w:p>
          <w:p w14:paraId="120AA3F8">
            <w:pPr>
              <w:widowControl/>
              <w:autoSpaceDE w:val="0"/>
              <w:autoSpaceDN w:val="0"/>
              <w:spacing w:line="280" w:lineRule="exact"/>
              <w:jc w:val="left"/>
              <w:rPr>
                <w:rFonts w:ascii="Times New Roman" w:hAnsi="Times New Roman" w:eastAsia="仿宋_GB2312"/>
                <w:color w:val="auto"/>
                <w:szCs w:val="21"/>
              </w:rPr>
            </w:pPr>
            <w:r>
              <w:rPr>
                <w:rFonts w:hint="eastAsia" w:ascii="Times New Roman" w:hAnsi="Times New Roman" w:eastAsia="仿宋_GB2312"/>
                <w:color w:val="auto"/>
                <w:szCs w:val="21"/>
              </w:rPr>
              <w:t xml:space="preserve">    </w:t>
            </w:r>
          </w:p>
          <w:p w14:paraId="61FEBDA3">
            <w:pPr>
              <w:widowControl/>
              <w:autoSpaceDE w:val="0"/>
              <w:autoSpaceDN w:val="0"/>
              <w:spacing w:line="280" w:lineRule="exact"/>
              <w:jc w:val="left"/>
              <w:rPr>
                <w:rFonts w:ascii="Times New Roman" w:hAnsi="Times New Roman" w:eastAsia="仿宋_GB2312"/>
                <w:color w:val="auto"/>
                <w:szCs w:val="21"/>
              </w:rPr>
            </w:pPr>
          </w:p>
        </w:tc>
        <w:tc>
          <w:tcPr>
            <w:tcW w:w="992" w:type="dxa"/>
            <w:tcBorders>
              <w:top w:val="single" w:color="auto" w:sz="4" w:space="0"/>
              <w:left w:val="single" w:color="auto" w:sz="4" w:space="0"/>
              <w:bottom w:val="single" w:color="auto" w:sz="4" w:space="0"/>
              <w:right w:val="single" w:color="auto" w:sz="4" w:space="0"/>
            </w:tcBorders>
            <w:shd w:val="clear" w:color="auto" w:fill="auto"/>
            <w:vAlign w:val="center"/>
          </w:tcPr>
          <w:p w14:paraId="5973A271">
            <w:pPr>
              <w:widowControl/>
              <w:autoSpaceDE w:val="0"/>
              <w:autoSpaceDN w:val="0"/>
              <w:spacing w:line="280" w:lineRule="exact"/>
              <w:jc w:val="center"/>
              <w:rPr>
                <w:rFonts w:ascii="Times New Roman" w:hAnsi="Times New Roman" w:eastAsia="仿宋_GB2312"/>
                <w:color w:val="auto"/>
                <w:szCs w:val="21"/>
              </w:rPr>
            </w:pPr>
            <w:r>
              <w:rPr>
                <w:rFonts w:hint="eastAsia" w:ascii="Times New Roman" w:hAnsi="Times New Roman" w:eastAsia="仿宋_GB2312"/>
                <w:color w:val="auto"/>
                <w:szCs w:val="21"/>
              </w:rPr>
              <w:t>现场</w:t>
            </w:r>
          </w:p>
          <w:p w14:paraId="7A299851">
            <w:pPr>
              <w:widowControl/>
              <w:autoSpaceDE w:val="0"/>
              <w:autoSpaceDN w:val="0"/>
              <w:spacing w:line="280" w:lineRule="exact"/>
              <w:jc w:val="center"/>
              <w:rPr>
                <w:rFonts w:ascii="Times New Roman" w:hAnsi="Times New Roman" w:eastAsia="仿宋_GB2312"/>
                <w:color w:val="auto"/>
                <w:szCs w:val="21"/>
              </w:rPr>
            </w:pPr>
            <w:r>
              <w:rPr>
                <w:rFonts w:hint="eastAsia" w:ascii="Times New Roman" w:hAnsi="Times New Roman" w:eastAsia="仿宋_GB2312"/>
                <w:color w:val="auto"/>
                <w:szCs w:val="21"/>
              </w:rPr>
              <w:t>检查</w:t>
            </w:r>
          </w:p>
        </w:tc>
        <w:tc>
          <w:tcPr>
            <w:tcW w:w="1139" w:type="dxa"/>
            <w:tcBorders>
              <w:top w:val="single" w:color="auto" w:sz="4" w:space="0"/>
              <w:left w:val="single" w:color="auto" w:sz="4" w:space="0"/>
              <w:bottom w:val="single" w:color="auto" w:sz="4" w:space="0"/>
              <w:right w:val="single" w:color="auto" w:sz="4" w:space="0"/>
            </w:tcBorders>
            <w:shd w:val="clear" w:color="auto" w:fill="auto"/>
            <w:vAlign w:val="center"/>
          </w:tcPr>
          <w:p w14:paraId="62E215EB">
            <w:pPr>
              <w:widowControl/>
              <w:autoSpaceDE w:val="0"/>
              <w:autoSpaceDN w:val="0"/>
              <w:spacing w:line="280" w:lineRule="exact"/>
              <w:jc w:val="center"/>
              <w:rPr>
                <w:rFonts w:ascii="Times New Roman" w:hAnsi="Times New Roman" w:eastAsia="仿宋_GB2312"/>
                <w:color w:val="auto"/>
                <w:szCs w:val="21"/>
              </w:rPr>
            </w:pPr>
            <w:r>
              <w:rPr>
                <w:rFonts w:hint="eastAsia" w:ascii="Times New Roman" w:hAnsi="Times New Roman" w:eastAsia="仿宋_GB2312"/>
                <w:color w:val="auto"/>
                <w:szCs w:val="21"/>
              </w:rPr>
              <w:t>双随机检查，不少于总标段数的5%且不少于10个标段；</w:t>
            </w:r>
          </w:p>
          <w:p w14:paraId="06273EAC">
            <w:pPr>
              <w:widowControl/>
              <w:autoSpaceDE w:val="0"/>
              <w:autoSpaceDN w:val="0"/>
              <w:spacing w:line="280" w:lineRule="exact"/>
              <w:jc w:val="center"/>
              <w:rPr>
                <w:rFonts w:ascii="Times New Roman" w:hAnsi="Times New Roman" w:eastAsia="仿宋_GB2312"/>
                <w:color w:val="auto"/>
                <w:szCs w:val="21"/>
              </w:rPr>
            </w:pPr>
            <w:r>
              <w:rPr>
                <w:rFonts w:hint="eastAsia" w:ascii="Times New Roman" w:hAnsi="Times New Roman" w:eastAsia="仿宋_GB2312"/>
                <w:color w:val="auto"/>
                <w:szCs w:val="21"/>
              </w:rPr>
              <w:t>对招标代理机构的行政检查与招投标检查合并进行</w:t>
            </w:r>
          </w:p>
        </w:tc>
        <w:tc>
          <w:tcPr>
            <w:tcW w:w="1491" w:type="dxa"/>
            <w:tcBorders>
              <w:top w:val="single" w:color="auto" w:sz="4" w:space="0"/>
              <w:left w:val="single" w:color="auto" w:sz="4" w:space="0"/>
              <w:bottom w:val="single" w:color="auto" w:sz="4" w:space="0"/>
              <w:right w:val="single" w:color="auto" w:sz="4" w:space="0"/>
            </w:tcBorders>
            <w:shd w:val="clear" w:color="auto" w:fill="auto"/>
            <w:vAlign w:val="center"/>
          </w:tcPr>
          <w:p w14:paraId="6CE28625">
            <w:pPr>
              <w:widowControl/>
              <w:autoSpaceDE w:val="0"/>
              <w:autoSpaceDN w:val="0"/>
              <w:spacing w:line="280" w:lineRule="exact"/>
              <w:jc w:val="center"/>
              <w:rPr>
                <w:rFonts w:ascii="Times New Roman" w:hAnsi="Times New Roman" w:eastAsia="仿宋_GB2312"/>
                <w:color w:val="auto"/>
                <w:szCs w:val="21"/>
              </w:rPr>
            </w:pPr>
            <w:r>
              <w:rPr>
                <w:rFonts w:hint="eastAsia" w:ascii="Times New Roman" w:hAnsi="Times New Roman" w:eastAsia="仿宋_GB2312"/>
                <w:color w:val="auto"/>
                <w:szCs w:val="21"/>
              </w:rPr>
              <w:t>320217831000</w:t>
            </w:r>
          </w:p>
        </w:tc>
        <w:tc>
          <w:tcPr>
            <w:tcW w:w="1481" w:type="dxa"/>
            <w:tcBorders>
              <w:top w:val="single" w:color="auto" w:sz="4" w:space="0"/>
              <w:left w:val="single" w:color="auto" w:sz="4" w:space="0"/>
              <w:bottom w:val="single" w:color="auto" w:sz="4" w:space="0"/>
              <w:right w:val="single" w:color="auto" w:sz="4" w:space="0"/>
            </w:tcBorders>
            <w:shd w:val="clear" w:color="auto" w:fill="auto"/>
            <w:vAlign w:val="center"/>
          </w:tcPr>
          <w:p w14:paraId="75646B77">
            <w:pPr>
              <w:widowControl/>
              <w:autoSpaceDE w:val="0"/>
              <w:autoSpaceDN w:val="0"/>
              <w:spacing w:line="280" w:lineRule="exact"/>
              <w:rPr>
                <w:rFonts w:ascii="Times New Roman" w:hAnsi="Times New Roman" w:eastAsia="仿宋_GB2312"/>
                <w:color w:val="auto"/>
                <w:szCs w:val="21"/>
              </w:rPr>
            </w:pPr>
            <w:r>
              <w:rPr>
                <w:rFonts w:hint="eastAsia" w:ascii="Times New Roman" w:hAnsi="Times New Roman" w:eastAsia="仿宋_GB2312"/>
                <w:color w:val="auto"/>
                <w:szCs w:val="21"/>
              </w:rPr>
              <w:t>对招标代理机构接受招标人违法的委托内容和要求，或者在招标活动中弄虚作假的处罚</w:t>
            </w:r>
          </w:p>
        </w:tc>
        <w:tc>
          <w:tcPr>
            <w:tcW w:w="622" w:type="dxa"/>
            <w:tcBorders>
              <w:top w:val="single" w:color="auto" w:sz="4" w:space="0"/>
              <w:left w:val="single" w:color="auto" w:sz="4" w:space="0"/>
              <w:bottom w:val="single" w:color="auto" w:sz="4" w:space="0"/>
              <w:right w:val="single" w:color="auto" w:sz="4" w:space="0"/>
            </w:tcBorders>
            <w:shd w:val="clear" w:color="auto" w:fill="auto"/>
            <w:vAlign w:val="center"/>
          </w:tcPr>
          <w:p w14:paraId="2634A434">
            <w:pPr>
              <w:spacing w:line="280" w:lineRule="exact"/>
              <w:jc w:val="center"/>
              <w:rPr>
                <w:rFonts w:ascii="Times New Roman" w:hAnsi="Times New Roman" w:eastAsia="仿宋_GB2312"/>
                <w:color w:val="auto"/>
                <w:kern w:val="0"/>
                <w:szCs w:val="21"/>
              </w:rPr>
            </w:pPr>
          </w:p>
        </w:tc>
      </w:tr>
      <w:tr w14:paraId="334F1F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0" w:hRule="atLeast"/>
          <w:jc w:val="center"/>
        </w:trPr>
        <w:tc>
          <w:tcPr>
            <w:tcW w:w="536" w:type="dxa"/>
            <w:vMerge w:val="restart"/>
            <w:tcBorders>
              <w:top w:val="single" w:color="auto" w:sz="4" w:space="0"/>
              <w:left w:val="single" w:color="auto" w:sz="4" w:space="0"/>
              <w:right w:val="single" w:color="auto" w:sz="4" w:space="0"/>
            </w:tcBorders>
            <w:shd w:val="clear" w:color="auto" w:fill="auto"/>
            <w:vAlign w:val="center"/>
          </w:tcPr>
          <w:p w14:paraId="640CFAD5">
            <w:pPr>
              <w:widowControl/>
              <w:autoSpaceDE w:val="0"/>
              <w:autoSpaceDN w:val="0"/>
              <w:spacing w:line="280" w:lineRule="exact"/>
              <w:jc w:val="center"/>
              <w:rPr>
                <w:rFonts w:ascii="Times New Roman" w:hAnsi="Times New Roman" w:eastAsia="仿宋_GB2312"/>
                <w:color w:val="auto"/>
                <w:szCs w:val="21"/>
              </w:rPr>
            </w:pPr>
            <w:r>
              <w:rPr>
                <w:rFonts w:hint="eastAsia" w:ascii="Times New Roman" w:hAnsi="Times New Roman" w:eastAsia="仿宋_GB2312"/>
                <w:color w:val="auto"/>
                <w:szCs w:val="21"/>
              </w:rPr>
              <w:t>3</w:t>
            </w:r>
          </w:p>
        </w:tc>
        <w:tc>
          <w:tcPr>
            <w:tcW w:w="1324" w:type="dxa"/>
            <w:vMerge w:val="restart"/>
            <w:tcBorders>
              <w:top w:val="single" w:color="auto" w:sz="4" w:space="0"/>
              <w:left w:val="single" w:color="auto" w:sz="4" w:space="0"/>
              <w:right w:val="single" w:color="auto" w:sz="4" w:space="0"/>
            </w:tcBorders>
            <w:shd w:val="clear" w:color="auto" w:fill="auto"/>
            <w:vAlign w:val="center"/>
          </w:tcPr>
          <w:p w14:paraId="0A78889A">
            <w:pPr>
              <w:widowControl/>
              <w:autoSpaceDE w:val="0"/>
              <w:autoSpaceDN w:val="0"/>
              <w:spacing w:line="280" w:lineRule="exact"/>
              <w:jc w:val="left"/>
              <w:rPr>
                <w:rFonts w:ascii="Times New Roman" w:hAnsi="Times New Roman" w:eastAsia="仿宋_GB2312"/>
                <w:color w:val="auto"/>
                <w:szCs w:val="21"/>
              </w:rPr>
            </w:pPr>
            <w:r>
              <w:rPr>
                <w:rFonts w:hint="eastAsia" w:ascii="Times New Roman" w:hAnsi="Times New Roman" w:eastAsia="仿宋_GB2312"/>
                <w:color w:val="auto"/>
                <w:szCs w:val="21"/>
              </w:rPr>
              <w:t>对建设工程项目勘察、设计、施工、监理及与工程建设有关的重要设备、材料采购的招标投标活动的行政监督和对招标代理机构的行政检查</w:t>
            </w:r>
          </w:p>
        </w:tc>
        <w:tc>
          <w:tcPr>
            <w:tcW w:w="794" w:type="dxa"/>
            <w:vMerge w:val="restart"/>
            <w:tcBorders>
              <w:top w:val="single" w:color="auto" w:sz="4" w:space="0"/>
              <w:left w:val="single" w:color="auto" w:sz="4" w:space="0"/>
              <w:right w:val="single" w:color="auto" w:sz="4" w:space="0"/>
            </w:tcBorders>
            <w:shd w:val="clear" w:color="auto" w:fill="auto"/>
            <w:vAlign w:val="center"/>
          </w:tcPr>
          <w:p w14:paraId="04916F1F">
            <w:pPr>
              <w:widowControl/>
              <w:autoSpaceDE w:val="0"/>
              <w:autoSpaceDN w:val="0"/>
              <w:spacing w:line="280" w:lineRule="exact"/>
              <w:jc w:val="center"/>
              <w:rPr>
                <w:rFonts w:ascii="Times New Roman" w:hAnsi="Times New Roman" w:eastAsia="仿宋_GB2312"/>
                <w:color w:val="auto"/>
                <w:szCs w:val="21"/>
              </w:rPr>
            </w:pPr>
            <w:r>
              <w:rPr>
                <w:rFonts w:hint="eastAsia" w:ascii="Times New Roman" w:hAnsi="Times New Roman" w:eastAsia="仿宋_GB2312"/>
                <w:color w:val="auto"/>
                <w:szCs w:val="21"/>
              </w:rPr>
              <w:t>苏州市相城区住房和城乡建设局</w:t>
            </w:r>
          </w:p>
        </w:tc>
        <w:tc>
          <w:tcPr>
            <w:tcW w:w="872" w:type="dxa"/>
            <w:vMerge w:val="restart"/>
            <w:tcBorders>
              <w:top w:val="single" w:color="auto" w:sz="4" w:space="0"/>
              <w:left w:val="single" w:color="auto" w:sz="4" w:space="0"/>
              <w:right w:val="single" w:color="auto" w:sz="4" w:space="0"/>
            </w:tcBorders>
            <w:shd w:val="clear" w:color="auto" w:fill="auto"/>
            <w:vAlign w:val="center"/>
          </w:tcPr>
          <w:p w14:paraId="7422476B">
            <w:pPr>
              <w:widowControl/>
              <w:autoSpaceDE w:val="0"/>
              <w:autoSpaceDN w:val="0"/>
              <w:spacing w:line="280" w:lineRule="exact"/>
              <w:jc w:val="left"/>
              <w:rPr>
                <w:rFonts w:ascii="Times New Roman" w:hAnsi="Times New Roman" w:eastAsia="仿宋_GB2312"/>
                <w:color w:val="auto"/>
                <w:szCs w:val="21"/>
              </w:rPr>
            </w:pPr>
            <w:r>
              <w:rPr>
                <w:rFonts w:hint="eastAsia" w:ascii="Times New Roman" w:hAnsi="Times New Roman" w:eastAsia="仿宋_GB2312"/>
                <w:color w:val="auto"/>
                <w:szCs w:val="21"/>
              </w:rPr>
              <w:t>相城区招投标管理服务中心</w:t>
            </w:r>
          </w:p>
        </w:tc>
        <w:tc>
          <w:tcPr>
            <w:tcW w:w="869" w:type="dxa"/>
            <w:vMerge w:val="restart"/>
            <w:tcBorders>
              <w:top w:val="single" w:color="auto" w:sz="4" w:space="0"/>
              <w:left w:val="single" w:color="auto" w:sz="4" w:space="0"/>
              <w:right w:val="single" w:color="auto" w:sz="4" w:space="0"/>
            </w:tcBorders>
            <w:shd w:val="clear" w:color="auto" w:fill="auto"/>
            <w:vAlign w:val="center"/>
          </w:tcPr>
          <w:p w14:paraId="1A714D63">
            <w:pPr>
              <w:widowControl/>
              <w:autoSpaceDE w:val="0"/>
              <w:autoSpaceDN w:val="0"/>
              <w:spacing w:line="280" w:lineRule="exact"/>
              <w:jc w:val="left"/>
              <w:rPr>
                <w:rFonts w:ascii="Times New Roman" w:hAnsi="Times New Roman" w:eastAsia="仿宋_GB2312"/>
                <w:color w:val="auto"/>
                <w:szCs w:val="21"/>
              </w:rPr>
            </w:pPr>
            <w:r>
              <w:rPr>
                <w:rFonts w:hint="eastAsia" w:ascii="Times New Roman" w:hAnsi="Times New Roman" w:eastAsia="仿宋_GB2312"/>
                <w:color w:val="auto"/>
                <w:szCs w:val="21"/>
              </w:rPr>
              <w:t>招标人、招标代理机构、投标人、中标人、评标委员会</w:t>
            </w:r>
          </w:p>
        </w:tc>
        <w:tc>
          <w:tcPr>
            <w:tcW w:w="4962" w:type="dxa"/>
            <w:vMerge w:val="restart"/>
            <w:tcBorders>
              <w:top w:val="single" w:color="auto" w:sz="4" w:space="0"/>
              <w:left w:val="single" w:color="auto" w:sz="4" w:space="0"/>
              <w:right w:val="single" w:color="auto" w:sz="4" w:space="0"/>
            </w:tcBorders>
            <w:shd w:val="clear" w:color="auto" w:fill="auto"/>
            <w:vAlign w:val="center"/>
          </w:tcPr>
          <w:p w14:paraId="740687A8">
            <w:pPr>
              <w:widowControl/>
              <w:autoSpaceDE w:val="0"/>
              <w:autoSpaceDN w:val="0"/>
              <w:spacing w:line="280" w:lineRule="exact"/>
              <w:jc w:val="left"/>
              <w:rPr>
                <w:rFonts w:ascii="Times New Roman" w:hAnsi="Times New Roman" w:eastAsia="仿宋_GB2312"/>
                <w:color w:val="auto"/>
                <w:szCs w:val="21"/>
              </w:rPr>
            </w:pPr>
            <w:r>
              <w:rPr>
                <w:rFonts w:hint="eastAsia" w:ascii="Times New Roman" w:hAnsi="Times New Roman" w:eastAsia="仿宋_GB2312"/>
                <w:color w:val="auto"/>
                <w:szCs w:val="21"/>
              </w:rPr>
              <w:t>【法规】《中华人民共和国招标投标法实施条例》</w:t>
            </w:r>
          </w:p>
          <w:p w14:paraId="5C5D9C09">
            <w:pPr>
              <w:widowControl/>
              <w:autoSpaceDE w:val="0"/>
              <w:autoSpaceDN w:val="0"/>
              <w:spacing w:line="280" w:lineRule="exact"/>
              <w:ind w:firstLine="420" w:firstLineChars="200"/>
              <w:jc w:val="left"/>
              <w:rPr>
                <w:rFonts w:ascii="Times New Roman" w:hAnsi="Times New Roman" w:eastAsia="仿宋_GB2312"/>
                <w:color w:val="auto"/>
                <w:szCs w:val="21"/>
              </w:rPr>
            </w:pPr>
            <w:r>
              <w:rPr>
                <w:rFonts w:hint="eastAsia" w:ascii="Times New Roman" w:hAnsi="Times New Roman" w:eastAsia="仿宋_GB2312"/>
                <w:color w:val="auto"/>
                <w:szCs w:val="21"/>
              </w:rPr>
              <w:t>第十一条  国务院住房城乡建设、商务、发展改革、工业和信息化等部门，按照规定的职责分工对招标代理机构依法实施监督管理。</w:t>
            </w:r>
          </w:p>
          <w:p w14:paraId="1DA4ED3F">
            <w:pPr>
              <w:widowControl/>
              <w:autoSpaceDE w:val="0"/>
              <w:autoSpaceDN w:val="0"/>
              <w:spacing w:line="280" w:lineRule="exact"/>
              <w:jc w:val="left"/>
              <w:rPr>
                <w:rFonts w:ascii="Times New Roman" w:hAnsi="Times New Roman" w:eastAsia="仿宋_GB2312"/>
                <w:color w:val="auto"/>
                <w:szCs w:val="21"/>
              </w:rPr>
            </w:pPr>
            <w:r>
              <w:rPr>
                <w:rFonts w:hint="eastAsia" w:ascii="Times New Roman" w:hAnsi="Times New Roman" w:eastAsia="仿宋_GB2312"/>
                <w:color w:val="auto"/>
                <w:szCs w:val="21"/>
              </w:rPr>
              <w:t xml:space="preserve">【文件】《住房城乡建设部办公厅关于取消工程建设项目招标代理机构资格认定加强事中事后监管的通知》 </w:t>
            </w:r>
          </w:p>
          <w:p w14:paraId="4639B82D">
            <w:pPr>
              <w:widowControl/>
              <w:autoSpaceDE w:val="0"/>
              <w:autoSpaceDN w:val="0"/>
              <w:spacing w:line="280" w:lineRule="exact"/>
              <w:jc w:val="left"/>
              <w:rPr>
                <w:rFonts w:ascii="Times New Roman" w:hAnsi="Times New Roman" w:eastAsia="仿宋_GB2312"/>
                <w:color w:val="auto"/>
                <w:szCs w:val="21"/>
              </w:rPr>
            </w:pPr>
            <w:r>
              <w:rPr>
                <w:rFonts w:hint="eastAsia" w:ascii="Times New Roman" w:hAnsi="Times New Roman" w:eastAsia="仿宋_GB2312"/>
                <w:color w:val="auto"/>
                <w:szCs w:val="21"/>
              </w:rPr>
              <w:t xml:space="preserve">    各级住房城乡建设主管部门要高度重视招标代理机构资格认定取消后的事中事后监管工作，完善工作机制，创新监管手段，加强工程建设项目招标投标活动监管，依法严肃查处违法违规行为，促进招投标活动有序开展。</w:t>
            </w:r>
          </w:p>
        </w:tc>
        <w:tc>
          <w:tcPr>
            <w:tcW w:w="992" w:type="dxa"/>
            <w:vMerge w:val="restart"/>
            <w:tcBorders>
              <w:top w:val="single" w:color="auto" w:sz="4" w:space="0"/>
              <w:left w:val="single" w:color="auto" w:sz="4" w:space="0"/>
              <w:right w:val="single" w:color="auto" w:sz="4" w:space="0"/>
            </w:tcBorders>
            <w:shd w:val="clear" w:color="auto" w:fill="auto"/>
            <w:vAlign w:val="center"/>
          </w:tcPr>
          <w:p w14:paraId="5B0999C9">
            <w:pPr>
              <w:widowControl/>
              <w:autoSpaceDE w:val="0"/>
              <w:autoSpaceDN w:val="0"/>
              <w:spacing w:line="280" w:lineRule="exact"/>
              <w:jc w:val="center"/>
              <w:rPr>
                <w:rFonts w:ascii="Times New Roman" w:hAnsi="Times New Roman" w:eastAsia="仿宋_GB2312"/>
                <w:color w:val="auto"/>
                <w:szCs w:val="21"/>
              </w:rPr>
            </w:pPr>
            <w:r>
              <w:rPr>
                <w:rFonts w:hint="eastAsia" w:ascii="Times New Roman" w:hAnsi="Times New Roman" w:eastAsia="仿宋_GB2312"/>
                <w:color w:val="auto"/>
                <w:szCs w:val="21"/>
              </w:rPr>
              <w:t>现场</w:t>
            </w:r>
          </w:p>
          <w:p w14:paraId="1E73BF3C">
            <w:pPr>
              <w:widowControl/>
              <w:autoSpaceDE w:val="0"/>
              <w:autoSpaceDN w:val="0"/>
              <w:spacing w:line="280" w:lineRule="exact"/>
              <w:jc w:val="center"/>
              <w:rPr>
                <w:rFonts w:ascii="Times New Roman" w:hAnsi="Times New Roman" w:eastAsia="仿宋_GB2312"/>
                <w:color w:val="auto"/>
                <w:szCs w:val="21"/>
              </w:rPr>
            </w:pPr>
            <w:r>
              <w:rPr>
                <w:rFonts w:hint="eastAsia" w:ascii="Times New Roman" w:hAnsi="Times New Roman" w:eastAsia="仿宋_GB2312"/>
                <w:color w:val="auto"/>
                <w:szCs w:val="21"/>
              </w:rPr>
              <w:t>检查</w:t>
            </w:r>
          </w:p>
        </w:tc>
        <w:tc>
          <w:tcPr>
            <w:tcW w:w="1139" w:type="dxa"/>
            <w:vMerge w:val="restart"/>
            <w:tcBorders>
              <w:top w:val="single" w:color="auto" w:sz="4" w:space="0"/>
              <w:left w:val="single" w:color="auto" w:sz="4" w:space="0"/>
              <w:right w:val="single" w:color="auto" w:sz="4" w:space="0"/>
            </w:tcBorders>
            <w:shd w:val="clear" w:color="auto" w:fill="auto"/>
            <w:vAlign w:val="center"/>
          </w:tcPr>
          <w:p w14:paraId="722E9153">
            <w:pPr>
              <w:widowControl/>
              <w:autoSpaceDE w:val="0"/>
              <w:autoSpaceDN w:val="0"/>
              <w:spacing w:line="280" w:lineRule="exact"/>
              <w:jc w:val="center"/>
              <w:rPr>
                <w:rFonts w:ascii="Times New Roman" w:hAnsi="Times New Roman" w:eastAsia="仿宋_GB2312"/>
                <w:color w:val="auto"/>
                <w:szCs w:val="21"/>
              </w:rPr>
            </w:pPr>
            <w:r>
              <w:rPr>
                <w:rFonts w:hint="eastAsia" w:ascii="Times New Roman" w:hAnsi="Times New Roman" w:eastAsia="仿宋_GB2312"/>
                <w:color w:val="auto"/>
                <w:szCs w:val="21"/>
              </w:rPr>
              <w:t>双随机检查，不少于总标段数的5%且不少于10个标段；</w:t>
            </w:r>
          </w:p>
          <w:p w14:paraId="57B60C0E">
            <w:pPr>
              <w:widowControl/>
              <w:autoSpaceDE w:val="0"/>
              <w:autoSpaceDN w:val="0"/>
              <w:spacing w:line="280" w:lineRule="exact"/>
              <w:jc w:val="center"/>
              <w:rPr>
                <w:rFonts w:ascii="Times New Roman" w:hAnsi="Times New Roman" w:eastAsia="仿宋_GB2312"/>
                <w:color w:val="auto"/>
                <w:szCs w:val="21"/>
              </w:rPr>
            </w:pPr>
            <w:r>
              <w:rPr>
                <w:rFonts w:hint="eastAsia" w:ascii="Times New Roman" w:hAnsi="Times New Roman" w:eastAsia="仿宋_GB2312"/>
                <w:color w:val="auto"/>
                <w:szCs w:val="21"/>
              </w:rPr>
              <w:t>对招标代理机构的行政检查与招投标检查合并进行</w:t>
            </w:r>
          </w:p>
        </w:tc>
        <w:tc>
          <w:tcPr>
            <w:tcW w:w="1491" w:type="dxa"/>
            <w:tcBorders>
              <w:top w:val="single" w:color="auto" w:sz="4" w:space="0"/>
              <w:left w:val="single" w:color="auto" w:sz="4" w:space="0"/>
              <w:bottom w:val="single" w:color="auto" w:sz="4" w:space="0"/>
              <w:right w:val="single" w:color="auto" w:sz="4" w:space="0"/>
            </w:tcBorders>
            <w:shd w:val="clear" w:color="auto" w:fill="auto"/>
            <w:vAlign w:val="center"/>
          </w:tcPr>
          <w:p w14:paraId="6FE7B8FC">
            <w:pPr>
              <w:widowControl/>
              <w:autoSpaceDE w:val="0"/>
              <w:autoSpaceDN w:val="0"/>
              <w:spacing w:line="280" w:lineRule="exact"/>
              <w:jc w:val="center"/>
              <w:rPr>
                <w:rFonts w:ascii="Times New Roman" w:hAnsi="Times New Roman" w:eastAsia="仿宋_GB2312"/>
                <w:color w:val="auto"/>
                <w:szCs w:val="21"/>
              </w:rPr>
            </w:pPr>
            <w:r>
              <w:rPr>
                <w:rFonts w:hint="eastAsia" w:ascii="Times New Roman" w:hAnsi="Times New Roman" w:eastAsia="仿宋_GB2312"/>
                <w:color w:val="auto"/>
                <w:szCs w:val="21"/>
              </w:rPr>
              <w:t>320217831000</w:t>
            </w:r>
          </w:p>
        </w:tc>
        <w:tc>
          <w:tcPr>
            <w:tcW w:w="1481" w:type="dxa"/>
            <w:tcBorders>
              <w:top w:val="single" w:color="auto" w:sz="4" w:space="0"/>
              <w:left w:val="single" w:color="auto" w:sz="4" w:space="0"/>
              <w:bottom w:val="single" w:color="auto" w:sz="4" w:space="0"/>
              <w:right w:val="single" w:color="auto" w:sz="4" w:space="0"/>
            </w:tcBorders>
            <w:shd w:val="clear" w:color="auto" w:fill="auto"/>
            <w:vAlign w:val="center"/>
          </w:tcPr>
          <w:p w14:paraId="2256AFC3">
            <w:pPr>
              <w:widowControl/>
              <w:autoSpaceDE w:val="0"/>
              <w:autoSpaceDN w:val="0"/>
              <w:spacing w:line="280" w:lineRule="exact"/>
              <w:rPr>
                <w:rFonts w:ascii="Times New Roman" w:hAnsi="Times New Roman" w:eastAsia="仿宋_GB2312"/>
                <w:color w:val="auto"/>
                <w:szCs w:val="21"/>
              </w:rPr>
            </w:pPr>
            <w:r>
              <w:rPr>
                <w:rFonts w:hint="eastAsia" w:ascii="Times New Roman" w:hAnsi="Times New Roman" w:eastAsia="仿宋_GB2312"/>
                <w:color w:val="auto"/>
                <w:szCs w:val="21"/>
              </w:rPr>
              <w:t>对招标代理机构接受招标人违法的委托内容和要求，或者在招标活动中弄虚作假的处罚</w:t>
            </w:r>
          </w:p>
        </w:tc>
        <w:tc>
          <w:tcPr>
            <w:tcW w:w="622" w:type="dxa"/>
            <w:tcBorders>
              <w:top w:val="single" w:color="auto" w:sz="4" w:space="0"/>
              <w:left w:val="single" w:color="auto" w:sz="4" w:space="0"/>
              <w:right w:val="single" w:color="auto" w:sz="4" w:space="0"/>
            </w:tcBorders>
            <w:shd w:val="clear" w:color="auto" w:fill="auto"/>
            <w:vAlign w:val="center"/>
          </w:tcPr>
          <w:p w14:paraId="0C1A7AFB">
            <w:pPr>
              <w:spacing w:line="280" w:lineRule="exact"/>
              <w:jc w:val="center"/>
              <w:rPr>
                <w:rFonts w:ascii="Times New Roman" w:hAnsi="Times New Roman" w:eastAsia="仿宋_GB2312"/>
                <w:color w:val="auto"/>
                <w:kern w:val="0"/>
                <w:szCs w:val="21"/>
              </w:rPr>
            </w:pPr>
          </w:p>
        </w:tc>
      </w:tr>
      <w:tr w14:paraId="046B39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0" w:hRule="atLeast"/>
          <w:jc w:val="center"/>
        </w:trPr>
        <w:tc>
          <w:tcPr>
            <w:tcW w:w="536" w:type="dxa"/>
            <w:vMerge w:val="continue"/>
            <w:tcBorders>
              <w:left w:val="single" w:color="auto" w:sz="4" w:space="0"/>
              <w:right w:val="single" w:color="auto" w:sz="4" w:space="0"/>
            </w:tcBorders>
            <w:shd w:val="clear" w:color="auto" w:fill="auto"/>
            <w:vAlign w:val="center"/>
          </w:tcPr>
          <w:p w14:paraId="4205FCF5">
            <w:pPr>
              <w:widowControl/>
              <w:autoSpaceDE w:val="0"/>
              <w:autoSpaceDN w:val="0"/>
              <w:spacing w:line="280" w:lineRule="exact"/>
              <w:jc w:val="left"/>
              <w:rPr>
                <w:rFonts w:ascii="Times New Roman" w:hAnsi="Times New Roman" w:eastAsia="仿宋_GB2312"/>
                <w:color w:val="auto"/>
                <w:szCs w:val="21"/>
              </w:rPr>
            </w:pPr>
          </w:p>
        </w:tc>
        <w:tc>
          <w:tcPr>
            <w:tcW w:w="1324" w:type="dxa"/>
            <w:vMerge w:val="continue"/>
            <w:tcBorders>
              <w:left w:val="single" w:color="auto" w:sz="4" w:space="0"/>
              <w:right w:val="single" w:color="auto" w:sz="4" w:space="0"/>
            </w:tcBorders>
            <w:shd w:val="clear" w:color="auto" w:fill="auto"/>
            <w:vAlign w:val="center"/>
          </w:tcPr>
          <w:p w14:paraId="5C63E0B5">
            <w:pPr>
              <w:widowControl/>
              <w:autoSpaceDE w:val="0"/>
              <w:autoSpaceDN w:val="0"/>
              <w:spacing w:line="280" w:lineRule="exact"/>
              <w:jc w:val="left"/>
              <w:rPr>
                <w:rFonts w:ascii="Times New Roman" w:hAnsi="Times New Roman" w:eastAsia="仿宋_GB2312"/>
                <w:color w:val="auto"/>
                <w:szCs w:val="21"/>
              </w:rPr>
            </w:pPr>
          </w:p>
        </w:tc>
        <w:tc>
          <w:tcPr>
            <w:tcW w:w="794" w:type="dxa"/>
            <w:vMerge w:val="continue"/>
            <w:tcBorders>
              <w:left w:val="single" w:color="auto" w:sz="4" w:space="0"/>
              <w:right w:val="single" w:color="auto" w:sz="4" w:space="0"/>
            </w:tcBorders>
            <w:shd w:val="clear" w:color="auto" w:fill="auto"/>
            <w:vAlign w:val="center"/>
          </w:tcPr>
          <w:p w14:paraId="3E228BB6">
            <w:pPr>
              <w:widowControl/>
              <w:autoSpaceDE w:val="0"/>
              <w:autoSpaceDN w:val="0"/>
              <w:spacing w:line="280" w:lineRule="exact"/>
              <w:jc w:val="left"/>
              <w:rPr>
                <w:rFonts w:ascii="Times New Roman" w:hAnsi="Times New Roman" w:eastAsia="仿宋_GB2312"/>
                <w:color w:val="auto"/>
                <w:szCs w:val="21"/>
              </w:rPr>
            </w:pPr>
          </w:p>
        </w:tc>
        <w:tc>
          <w:tcPr>
            <w:tcW w:w="872" w:type="dxa"/>
            <w:vMerge w:val="continue"/>
            <w:tcBorders>
              <w:left w:val="single" w:color="auto" w:sz="4" w:space="0"/>
              <w:right w:val="single" w:color="auto" w:sz="4" w:space="0"/>
            </w:tcBorders>
            <w:shd w:val="clear" w:color="auto" w:fill="auto"/>
            <w:vAlign w:val="center"/>
          </w:tcPr>
          <w:p w14:paraId="5DD0AB3D">
            <w:pPr>
              <w:widowControl/>
              <w:autoSpaceDE w:val="0"/>
              <w:autoSpaceDN w:val="0"/>
              <w:spacing w:line="280" w:lineRule="exact"/>
              <w:jc w:val="left"/>
              <w:rPr>
                <w:rFonts w:ascii="Times New Roman" w:hAnsi="Times New Roman" w:eastAsia="仿宋_GB2312"/>
                <w:color w:val="auto"/>
                <w:szCs w:val="21"/>
              </w:rPr>
            </w:pPr>
          </w:p>
        </w:tc>
        <w:tc>
          <w:tcPr>
            <w:tcW w:w="869" w:type="dxa"/>
            <w:vMerge w:val="continue"/>
            <w:tcBorders>
              <w:left w:val="single" w:color="auto" w:sz="4" w:space="0"/>
              <w:right w:val="single" w:color="auto" w:sz="4" w:space="0"/>
            </w:tcBorders>
            <w:shd w:val="clear" w:color="auto" w:fill="auto"/>
            <w:vAlign w:val="center"/>
          </w:tcPr>
          <w:p w14:paraId="285F95F7">
            <w:pPr>
              <w:widowControl/>
              <w:autoSpaceDE w:val="0"/>
              <w:autoSpaceDN w:val="0"/>
              <w:spacing w:line="280" w:lineRule="exact"/>
              <w:jc w:val="left"/>
              <w:rPr>
                <w:rFonts w:ascii="Times New Roman" w:hAnsi="Times New Roman" w:eastAsia="仿宋_GB2312"/>
                <w:color w:val="auto"/>
                <w:szCs w:val="21"/>
              </w:rPr>
            </w:pPr>
          </w:p>
        </w:tc>
        <w:tc>
          <w:tcPr>
            <w:tcW w:w="4962" w:type="dxa"/>
            <w:vMerge w:val="continue"/>
            <w:tcBorders>
              <w:left w:val="single" w:color="auto" w:sz="4" w:space="0"/>
              <w:right w:val="single" w:color="auto" w:sz="4" w:space="0"/>
            </w:tcBorders>
            <w:shd w:val="clear" w:color="auto" w:fill="auto"/>
            <w:vAlign w:val="center"/>
          </w:tcPr>
          <w:p w14:paraId="58C47CD1">
            <w:pPr>
              <w:widowControl/>
              <w:autoSpaceDE w:val="0"/>
              <w:autoSpaceDN w:val="0"/>
              <w:spacing w:line="280" w:lineRule="exact"/>
              <w:jc w:val="left"/>
              <w:rPr>
                <w:rFonts w:ascii="Times New Roman" w:hAnsi="Times New Roman" w:eastAsia="仿宋_GB2312"/>
                <w:color w:val="auto"/>
                <w:szCs w:val="21"/>
              </w:rPr>
            </w:pPr>
          </w:p>
        </w:tc>
        <w:tc>
          <w:tcPr>
            <w:tcW w:w="992" w:type="dxa"/>
            <w:vMerge w:val="continue"/>
            <w:tcBorders>
              <w:left w:val="single" w:color="auto" w:sz="4" w:space="0"/>
              <w:right w:val="single" w:color="auto" w:sz="4" w:space="0"/>
            </w:tcBorders>
            <w:shd w:val="clear" w:color="auto" w:fill="auto"/>
            <w:vAlign w:val="center"/>
          </w:tcPr>
          <w:p w14:paraId="45A4531B">
            <w:pPr>
              <w:widowControl/>
              <w:autoSpaceDE w:val="0"/>
              <w:autoSpaceDN w:val="0"/>
              <w:spacing w:line="280" w:lineRule="exact"/>
              <w:jc w:val="left"/>
              <w:rPr>
                <w:rFonts w:ascii="Times New Roman" w:hAnsi="Times New Roman" w:eastAsia="仿宋_GB2312"/>
                <w:color w:val="auto"/>
                <w:szCs w:val="21"/>
              </w:rPr>
            </w:pPr>
          </w:p>
        </w:tc>
        <w:tc>
          <w:tcPr>
            <w:tcW w:w="1139" w:type="dxa"/>
            <w:vMerge w:val="continue"/>
            <w:tcBorders>
              <w:left w:val="single" w:color="auto" w:sz="4" w:space="0"/>
              <w:right w:val="single" w:color="auto" w:sz="4" w:space="0"/>
            </w:tcBorders>
            <w:shd w:val="clear" w:color="auto" w:fill="auto"/>
            <w:vAlign w:val="center"/>
          </w:tcPr>
          <w:p w14:paraId="01F5B45E">
            <w:pPr>
              <w:widowControl/>
              <w:autoSpaceDE w:val="0"/>
              <w:autoSpaceDN w:val="0"/>
              <w:spacing w:line="280" w:lineRule="exact"/>
              <w:jc w:val="center"/>
              <w:rPr>
                <w:rFonts w:ascii="Times New Roman" w:hAnsi="Times New Roman" w:eastAsia="仿宋_GB2312"/>
                <w:color w:val="auto"/>
                <w:szCs w:val="21"/>
              </w:rPr>
            </w:pPr>
          </w:p>
        </w:tc>
        <w:tc>
          <w:tcPr>
            <w:tcW w:w="1491" w:type="dxa"/>
            <w:tcBorders>
              <w:top w:val="single" w:color="auto" w:sz="4" w:space="0"/>
              <w:left w:val="single" w:color="auto" w:sz="4" w:space="0"/>
              <w:bottom w:val="single" w:color="auto" w:sz="4" w:space="0"/>
              <w:right w:val="single" w:color="auto" w:sz="4" w:space="0"/>
            </w:tcBorders>
            <w:shd w:val="clear" w:color="auto" w:fill="auto"/>
            <w:vAlign w:val="center"/>
          </w:tcPr>
          <w:p w14:paraId="7FBBF0C8">
            <w:pPr>
              <w:widowControl/>
              <w:autoSpaceDE w:val="0"/>
              <w:autoSpaceDN w:val="0"/>
              <w:spacing w:line="280" w:lineRule="exact"/>
              <w:jc w:val="center"/>
              <w:rPr>
                <w:rFonts w:ascii="Times New Roman" w:hAnsi="Times New Roman" w:eastAsia="仿宋_GB2312"/>
                <w:color w:val="auto"/>
                <w:szCs w:val="21"/>
              </w:rPr>
            </w:pPr>
            <w:r>
              <w:rPr>
                <w:rFonts w:hint="eastAsia" w:ascii="Times New Roman" w:hAnsi="Times New Roman" w:eastAsia="仿宋_GB2312"/>
                <w:color w:val="auto"/>
                <w:szCs w:val="21"/>
              </w:rPr>
              <w:t>320217830000</w:t>
            </w:r>
          </w:p>
        </w:tc>
        <w:tc>
          <w:tcPr>
            <w:tcW w:w="1481" w:type="dxa"/>
            <w:tcBorders>
              <w:top w:val="single" w:color="auto" w:sz="4" w:space="0"/>
              <w:left w:val="single" w:color="auto" w:sz="4" w:space="0"/>
              <w:bottom w:val="single" w:color="auto" w:sz="4" w:space="0"/>
              <w:right w:val="single" w:color="auto" w:sz="4" w:space="0"/>
            </w:tcBorders>
            <w:shd w:val="clear" w:color="auto" w:fill="auto"/>
            <w:vAlign w:val="center"/>
          </w:tcPr>
          <w:p w14:paraId="77284F4B">
            <w:pPr>
              <w:widowControl/>
              <w:autoSpaceDE w:val="0"/>
              <w:autoSpaceDN w:val="0"/>
              <w:spacing w:line="280" w:lineRule="exact"/>
              <w:rPr>
                <w:rFonts w:ascii="Times New Roman" w:hAnsi="Times New Roman" w:eastAsia="仿宋_GB2312"/>
                <w:color w:val="auto"/>
                <w:szCs w:val="21"/>
              </w:rPr>
            </w:pPr>
            <w:r>
              <w:rPr>
                <w:rFonts w:hint="eastAsia" w:ascii="Times New Roman" w:hAnsi="Times New Roman" w:eastAsia="仿宋_GB2312"/>
                <w:color w:val="auto"/>
                <w:szCs w:val="21"/>
              </w:rPr>
              <w:t>对招标人、投标人、招标代理机构、电子招标投标交易系统的开发建设或者运营机构拒绝依法实施的监督检查，或者在监督检查中提供虚假情况的处罚</w:t>
            </w:r>
          </w:p>
        </w:tc>
        <w:tc>
          <w:tcPr>
            <w:tcW w:w="622" w:type="dxa"/>
            <w:tcBorders>
              <w:left w:val="single" w:color="auto" w:sz="4" w:space="0"/>
              <w:right w:val="single" w:color="auto" w:sz="4" w:space="0"/>
            </w:tcBorders>
            <w:shd w:val="clear" w:color="auto" w:fill="auto"/>
            <w:vAlign w:val="center"/>
          </w:tcPr>
          <w:p w14:paraId="1D6878A9">
            <w:pPr>
              <w:spacing w:line="280" w:lineRule="exact"/>
              <w:rPr>
                <w:rFonts w:ascii="Times New Roman" w:hAnsi="Times New Roman" w:eastAsia="仿宋_GB2312"/>
                <w:color w:val="auto"/>
                <w:kern w:val="0"/>
                <w:szCs w:val="21"/>
              </w:rPr>
            </w:pPr>
          </w:p>
        </w:tc>
      </w:tr>
      <w:tr w14:paraId="6F88E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7" w:hRule="atLeast"/>
          <w:jc w:val="center"/>
        </w:trPr>
        <w:tc>
          <w:tcPr>
            <w:tcW w:w="536" w:type="dxa"/>
            <w:vMerge w:val="continue"/>
            <w:tcBorders>
              <w:left w:val="single" w:color="auto" w:sz="4" w:space="0"/>
              <w:right w:val="single" w:color="auto" w:sz="4" w:space="0"/>
            </w:tcBorders>
            <w:shd w:val="clear" w:color="auto" w:fill="auto"/>
            <w:vAlign w:val="center"/>
          </w:tcPr>
          <w:p w14:paraId="4ADEEE75">
            <w:pPr>
              <w:widowControl/>
              <w:autoSpaceDE w:val="0"/>
              <w:autoSpaceDN w:val="0"/>
              <w:spacing w:line="280" w:lineRule="exact"/>
              <w:jc w:val="left"/>
              <w:rPr>
                <w:rFonts w:ascii="Times New Roman" w:hAnsi="Times New Roman" w:eastAsia="仿宋_GB2312"/>
                <w:color w:val="auto"/>
                <w:szCs w:val="21"/>
              </w:rPr>
            </w:pPr>
          </w:p>
        </w:tc>
        <w:tc>
          <w:tcPr>
            <w:tcW w:w="1324" w:type="dxa"/>
            <w:vMerge w:val="continue"/>
            <w:tcBorders>
              <w:left w:val="single" w:color="auto" w:sz="4" w:space="0"/>
              <w:right w:val="single" w:color="auto" w:sz="4" w:space="0"/>
            </w:tcBorders>
            <w:shd w:val="clear" w:color="auto" w:fill="auto"/>
            <w:vAlign w:val="center"/>
          </w:tcPr>
          <w:p w14:paraId="218737FA">
            <w:pPr>
              <w:widowControl/>
              <w:autoSpaceDE w:val="0"/>
              <w:autoSpaceDN w:val="0"/>
              <w:spacing w:line="280" w:lineRule="exact"/>
              <w:jc w:val="left"/>
              <w:rPr>
                <w:rFonts w:ascii="Times New Roman" w:hAnsi="Times New Roman" w:eastAsia="仿宋_GB2312"/>
                <w:color w:val="auto"/>
                <w:szCs w:val="21"/>
              </w:rPr>
            </w:pPr>
          </w:p>
        </w:tc>
        <w:tc>
          <w:tcPr>
            <w:tcW w:w="794" w:type="dxa"/>
            <w:vMerge w:val="continue"/>
            <w:tcBorders>
              <w:left w:val="single" w:color="auto" w:sz="4" w:space="0"/>
              <w:right w:val="single" w:color="auto" w:sz="4" w:space="0"/>
            </w:tcBorders>
            <w:shd w:val="clear" w:color="auto" w:fill="auto"/>
            <w:vAlign w:val="center"/>
          </w:tcPr>
          <w:p w14:paraId="01FFDF6E">
            <w:pPr>
              <w:widowControl/>
              <w:autoSpaceDE w:val="0"/>
              <w:autoSpaceDN w:val="0"/>
              <w:spacing w:line="280" w:lineRule="exact"/>
              <w:jc w:val="left"/>
              <w:rPr>
                <w:rFonts w:ascii="Times New Roman" w:hAnsi="Times New Roman" w:eastAsia="仿宋_GB2312"/>
                <w:color w:val="auto"/>
                <w:szCs w:val="21"/>
              </w:rPr>
            </w:pPr>
          </w:p>
        </w:tc>
        <w:tc>
          <w:tcPr>
            <w:tcW w:w="872" w:type="dxa"/>
            <w:vMerge w:val="continue"/>
            <w:tcBorders>
              <w:left w:val="single" w:color="auto" w:sz="4" w:space="0"/>
              <w:right w:val="single" w:color="auto" w:sz="4" w:space="0"/>
            </w:tcBorders>
            <w:shd w:val="clear" w:color="auto" w:fill="auto"/>
            <w:vAlign w:val="center"/>
          </w:tcPr>
          <w:p w14:paraId="1B1FD3DF">
            <w:pPr>
              <w:widowControl/>
              <w:autoSpaceDE w:val="0"/>
              <w:autoSpaceDN w:val="0"/>
              <w:spacing w:line="280" w:lineRule="exact"/>
              <w:jc w:val="left"/>
              <w:rPr>
                <w:rFonts w:ascii="Times New Roman" w:hAnsi="Times New Roman" w:eastAsia="仿宋_GB2312"/>
                <w:color w:val="auto"/>
                <w:szCs w:val="21"/>
              </w:rPr>
            </w:pPr>
          </w:p>
        </w:tc>
        <w:tc>
          <w:tcPr>
            <w:tcW w:w="869" w:type="dxa"/>
            <w:vMerge w:val="continue"/>
            <w:tcBorders>
              <w:left w:val="single" w:color="auto" w:sz="4" w:space="0"/>
              <w:right w:val="single" w:color="auto" w:sz="4" w:space="0"/>
            </w:tcBorders>
            <w:shd w:val="clear" w:color="auto" w:fill="auto"/>
            <w:vAlign w:val="center"/>
          </w:tcPr>
          <w:p w14:paraId="32A334CF">
            <w:pPr>
              <w:widowControl/>
              <w:autoSpaceDE w:val="0"/>
              <w:autoSpaceDN w:val="0"/>
              <w:spacing w:line="280" w:lineRule="exact"/>
              <w:jc w:val="left"/>
              <w:rPr>
                <w:rFonts w:ascii="Times New Roman" w:hAnsi="Times New Roman" w:eastAsia="仿宋_GB2312"/>
                <w:color w:val="auto"/>
                <w:szCs w:val="21"/>
              </w:rPr>
            </w:pPr>
          </w:p>
        </w:tc>
        <w:tc>
          <w:tcPr>
            <w:tcW w:w="4962" w:type="dxa"/>
            <w:vMerge w:val="continue"/>
            <w:tcBorders>
              <w:left w:val="single" w:color="auto" w:sz="4" w:space="0"/>
              <w:right w:val="single" w:color="auto" w:sz="4" w:space="0"/>
            </w:tcBorders>
            <w:shd w:val="clear" w:color="auto" w:fill="auto"/>
            <w:vAlign w:val="center"/>
          </w:tcPr>
          <w:p w14:paraId="4E244423">
            <w:pPr>
              <w:widowControl/>
              <w:autoSpaceDE w:val="0"/>
              <w:autoSpaceDN w:val="0"/>
              <w:spacing w:line="280" w:lineRule="exact"/>
              <w:jc w:val="left"/>
              <w:rPr>
                <w:rFonts w:ascii="Times New Roman" w:hAnsi="Times New Roman" w:eastAsia="仿宋_GB2312"/>
                <w:color w:val="auto"/>
                <w:szCs w:val="21"/>
              </w:rPr>
            </w:pPr>
          </w:p>
        </w:tc>
        <w:tc>
          <w:tcPr>
            <w:tcW w:w="992" w:type="dxa"/>
            <w:vMerge w:val="continue"/>
            <w:tcBorders>
              <w:left w:val="single" w:color="auto" w:sz="4" w:space="0"/>
              <w:right w:val="single" w:color="auto" w:sz="4" w:space="0"/>
            </w:tcBorders>
            <w:shd w:val="clear" w:color="auto" w:fill="auto"/>
            <w:vAlign w:val="center"/>
          </w:tcPr>
          <w:p w14:paraId="019901E3">
            <w:pPr>
              <w:widowControl/>
              <w:autoSpaceDE w:val="0"/>
              <w:autoSpaceDN w:val="0"/>
              <w:spacing w:line="280" w:lineRule="exact"/>
              <w:jc w:val="left"/>
              <w:rPr>
                <w:rFonts w:ascii="Times New Roman" w:hAnsi="Times New Roman" w:eastAsia="仿宋_GB2312"/>
                <w:color w:val="auto"/>
                <w:szCs w:val="21"/>
              </w:rPr>
            </w:pPr>
          </w:p>
        </w:tc>
        <w:tc>
          <w:tcPr>
            <w:tcW w:w="1139" w:type="dxa"/>
            <w:vMerge w:val="continue"/>
            <w:tcBorders>
              <w:left w:val="single" w:color="auto" w:sz="4" w:space="0"/>
              <w:right w:val="single" w:color="auto" w:sz="4" w:space="0"/>
            </w:tcBorders>
            <w:shd w:val="clear" w:color="auto" w:fill="auto"/>
            <w:vAlign w:val="center"/>
          </w:tcPr>
          <w:p w14:paraId="630D5B1E">
            <w:pPr>
              <w:widowControl/>
              <w:autoSpaceDE w:val="0"/>
              <w:autoSpaceDN w:val="0"/>
              <w:spacing w:line="280" w:lineRule="exact"/>
              <w:jc w:val="center"/>
              <w:rPr>
                <w:rFonts w:ascii="Times New Roman" w:hAnsi="Times New Roman" w:eastAsia="仿宋_GB2312"/>
                <w:color w:val="auto"/>
                <w:szCs w:val="21"/>
              </w:rPr>
            </w:pPr>
          </w:p>
        </w:tc>
        <w:tc>
          <w:tcPr>
            <w:tcW w:w="1491" w:type="dxa"/>
            <w:tcBorders>
              <w:top w:val="single" w:color="auto" w:sz="4" w:space="0"/>
              <w:left w:val="single" w:color="auto" w:sz="4" w:space="0"/>
              <w:bottom w:val="single" w:color="auto" w:sz="4" w:space="0"/>
              <w:right w:val="single" w:color="auto" w:sz="4" w:space="0"/>
            </w:tcBorders>
            <w:shd w:val="clear" w:color="auto" w:fill="auto"/>
            <w:vAlign w:val="center"/>
          </w:tcPr>
          <w:p w14:paraId="42FBF5E3">
            <w:pPr>
              <w:widowControl/>
              <w:autoSpaceDE w:val="0"/>
              <w:autoSpaceDN w:val="0"/>
              <w:spacing w:line="280" w:lineRule="exact"/>
              <w:jc w:val="center"/>
              <w:rPr>
                <w:rFonts w:ascii="Times New Roman" w:hAnsi="Times New Roman" w:eastAsia="仿宋_GB2312"/>
                <w:color w:val="auto"/>
                <w:szCs w:val="21"/>
              </w:rPr>
            </w:pPr>
            <w:r>
              <w:rPr>
                <w:rFonts w:hint="eastAsia" w:ascii="Times New Roman" w:hAnsi="Times New Roman" w:eastAsia="仿宋_GB2312"/>
                <w:color w:val="auto"/>
                <w:szCs w:val="21"/>
              </w:rPr>
              <w:t>320217548000</w:t>
            </w:r>
          </w:p>
        </w:tc>
        <w:tc>
          <w:tcPr>
            <w:tcW w:w="1481" w:type="dxa"/>
            <w:tcBorders>
              <w:top w:val="single" w:color="auto" w:sz="4" w:space="0"/>
              <w:left w:val="single" w:color="auto" w:sz="4" w:space="0"/>
              <w:bottom w:val="single" w:color="auto" w:sz="4" w:space="0"/>
              <w:right w:val="single" w:color="auto" w:sz="4" w:space="0"/>
            </w:tcBorders>
            <w:shd w:val="clear" w:color="auto" w:fill="auto"/>
            <w:vAlign w:val="center"/>
          </w:tcPr>
          <w:p w14:paraId="10BCB93B">
            <w:pPr>
              <w:widowControl/>
              <w:autoSpaceDE w:val="0"/>
              <w:autoSpaceDN w:val="0"/>
              <w:spacing w:line="280" w:lineRule="exact"/>
              <w:rPr>
                <w:rFonts w:ascii="Times New Roman" w:hAnsi="Times New Roman" w:eastAsia="仿宋_GB2312"/>
                <w:color w:val="auto"/>
                <w:szCs w:val="21"/>
              </w:rPr>
            </w:pPr>
            <w:r>
              <w:rPr>
                <w:rFonts w:hint="eastAsia" w:ascii="Times New Roman" w:hAnsi="Times New Roman" w:eastAsia="仿宋_GB2312"/>
                <w:color w:val="auto"/>
                <w:szCs w:val="21"/>
              </w:rPr>
              <w:t>对邀请招标不依法发出投标邀请书的处罚</w:t>
            </w:r>
          </w:p>
        </w:tc>
        <w:tc>
          <w:tcPr>
            <w:tcW w:w="622" w:type="dxa"/>
            <w:tcBorders>
              <w:left w:val="single" w:color="auto" w:sz="4" w:space="0"/>
              <w:bottom w:val="single" w:color="auto" w:sz="4" w:space="0"/>
              <w:right w:val="single" w:color="auto" w:sz="4" w:space="0"/>
            </w:tcBorders>
            <w:shd w:val="clear" w:color="auto" w:fill="auto"/>
            <w:vAlign w:val="center"/>
          </w:tcPr>
          <w:p w14:paraId="7DD8011A">
            <w:pPr>
              <w:spacing w:line="280" w:lineRule="exact"/>
              <w:rPr>
                <w:rFonts w:ascii="Times New Roman" w:hAnsi="Times New Roman" w:eastAsia="仿宋_GB2312"/>
                <w:color w:val="auto"/>
                <w:kern w:val="0"/>
                <w:szCs w:val="21"/>
              </w:rPr>
            </w:pPr>
          </w:p>
        </w:tc>
      </w:tr>
      <w:tr w14:paraId="35315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0" w:hRule="atLeast"/>
          <w:jc w:val="center"/>
        </w:trPr>
        <w:tc>
          <w:tcPr>
            <w:tcW w:w="536" w:type="dxa"/>
            <w:vMerge w:val="continue"/>
            <w:tcBorders>
              <w:left w:val="single" w:color="auto" w:sz="4" w:space="0"/>
              <w:bottom w:val="single" w:color="auto" w:sz="4" w:space="0"/>
              <w:right w:val="single" w:color="auto" w:sz="4" w:space="0"/>
            </w:tcBorders>
            <w:shd w:val="clear" w:color="auto" w:fill="auto"/>
            <w:vAlign w:val="center"/>
          </w:tcPr>
          <w:p w14:paraId="61F69ABC">
            <w:pPr>
              <w:widowControl/>
              <w:autoSpaceDE w:val="0"/>
              <w:autoSpaceDN w:val="0"/>
              <w:spacing w:line="280" w:lineRule="exact"/>
              <w:jc w:val="left"/>
              <w:rPr>
                <w:rFonts w:ascii="Times New Roman" w:hAnsi="Times New Roman" w:eastAsia="仿宋_GB2312"/>
                <w:color w:val="auto"/>
                <w:szCs w:val="21"/>
              </w:rPr>
            </w:pPr>
          </w:p>
        </w:tc>
        <w:tc>
          <w:tcPr>
            <w:tcW w:w="1324" w:type="dxa"/>
            <w:vMerge w:val="continue"/>
            <w:tcBorders>
              <w:left w:val="single" w:color="auto" w:sz="4" w:space="0"/>
              <w:bottom w:val="single" w:color="auto" w:sz="4" w:space="0"/>
              <w:right w:val="single" w:color="auto" w:sz="4" w:space="0"/>
            </w:tcBorders>
            <w:shd w:val="clear" w:color="auto" w:fill="auto"/>
            <w:vAlign w:val="center"/>
          </w:tcPr>
          <w:p w14:paraId="3E19C8EB">
            <w:pPr>
              <w:widowControl/>
              <w:autoSpaceDE w:val="0"/>
              <w:autoSpaceDN w:val="0"/>
              <w:spacing w:line="280" w:lineRule="exact"/>
              <w:jc w:val="left"/>
              <w:rPr>
                <w:rFonts w:ascii="Times New Roman" w:hAnsi="Times New Roman" w:eastAsia="仿宋_GB2312"/>
                <w:color w:val="auto"/>
                <w:szCs w:val="21"/>
              </w:rPr>
            </w:pPr>
          </w:p>
        </w:tc>
        <w:tc>
          <w:tcPr>
            <w:tcW w:w="794" w:type="dxa"/>
            <w:vMerge w:val="continue"/>
            <w:tcBorders>
              <w:left w:val="single" w:color="auto" w:sz="4" w:space="0"/>
              <w:bottom w:val="single" w:color="auto" w:sz="4" w:space="0"/>
              <w:right w:val="single" w:color="auto" w:sz="4" w:space="0"/>
            </w:tcBorders>
            <w:shd w:val="clear" w:color="auto" w:fill="auto"/>
            <w:vAlign w:val="center"/>
          </w:tcPr>
          <w:p w14:paraId="5EA12E08">
            <w:pPr>
              <w:widowControl/>
              <w:autoSpaceDE w:val="0"/>
              <w:autoSpaceDN w:val="0"/>
              <w:spacing w:line="280" w:lineRule="exact"/>
              <w:jc w:val="left"/>
              <w:rPr>
                <w:rFonts w:ascii="Times New Roman" w:hAnsi="Times New Roman" w:eastAsia="仿宋_GB2312"/>
                <w:color w:val="auto"/>
                <w:szCs w:val="21"/>
              </w:rPr>
            </w:pPr>
          </w:p>
        </w:tc>
        <w:tc>
          <w:tcPr>
            <w:tcW w:w="872" w:type="dxa"/>
            <w:vMerge w:val="continue"/>
            <w:tcBorders>
              <w:left w:val="single" w:color="auto" w:sz="4" w:space="0"/>
              <w:bottom w:val="single" w:color="auto" w:sz="4" w:space="0"/>
              <w:right w:val="single" w:color="auto" w:sz="4" w:space="0"/>
            </w:tcBorders>
            <w:shd w:val="clear" w:color="auto" w:fill="auto"/>
            <w:vAlign w:val="center"/>
          </w:tcPr>
          <w:p w14:paraId="72E95BC0">
            <w:pPr>
              <w:widowControl/>
              <w:autoSpaceDE w:val="0"/>
              <w:autoSpaceDN w:val="0"/>
              <w:spacing w:line="280" w:lineRule="exact"/>
              <w:jc w:val="left"/>
              <w:rPr>
                <w:rFonts w:ascii="Times New Roman" w:hAnsi="Times New Roman" w:eastAsia="仿宋_GB2312"/>
                <w:color w:val="auto"/>
                <w:szCs w:val="21"/>
              </w:rPr>
            </w:pPr>
          </w:p>
        </w:tc>
        <w:tc>
          <w:tcPr>
            <w:tcW w:w="869" w:type="dxa"/>
            <w:vMerge w:val="continue"/>
            <w:tcBorders>
              <w:left w:val="single" w:color="auto" w:sz="4" w:space="0"/>
              <w:bottom w:val="single" w:color="auto" w:sz="4" w:space="0"/>
              <w:right w:val="single" w:color="auto" w:sz="4" w:space="0"/>
            </w:tcBorders>
            <w:shd w:val="clear" w:color="auto" w:fill="auto"/>
            <w:vAlign w:val="center"/>
          </w:tcPr>
          <w:p w14:paraId="1E4CAABE">
            <w:pPr>
              <w:widowControl/>
              <w:autoSpaceDE w:val="0"/>
              <w:autoSpaceDN w:val="0"/>
              <w:spacing w:line="280" w:lineRule="exact"/>
              <w:jc w:val="left"/>
              <w:rPr>
                <w:rFonts w:ascii="Times New Roman" w:hAnsi="Times New Roman" w:eastAsia="仿宋_GB2312"/>
                <w:color w:val="auto"/>
                <w:szCs w:val="21"/>
              </w:rPr>
            </w:pPr>
          </w:p>
        </w:tc>
        <w:tc>
          <w:tcPr>
            <w:tcW w:w="4962" w:type="dxa"/>
            <w:vMerge w:val="continue"/>
            <w:tcBorders>
              <w:left w:val="single" w:color="auto" w:sz="4" w:space="0"/>
              <w:bottom w:val="single" w:color="auto" w:sz="4" w:space="0"/>
              <w:right w:val="single" w:color="auto" w:sz="4" w:space="0"/>
            </w:tcBorders>
            <w:shd w:val="clear" w:color="auto" w:fill="auto"/>
            <w:vAlign w:val="center"/>
          </w:tcPr>
          <w:p w14:paraId="1AB4C3A5">
            <w:pPr>
              <w:widowControl/>
              <w:autoSpaceDE w:val="0"/>
              <w:autoSpaceDN w:val="0"/>
              <w:spacing w:line="280" w:lineRule="exact"/>
              <w:jc w:val="left"/>
              <w:rPr>
                <w:rFonts w:ascii="Times New Roman" w:hAnsi="Times New Roman" w:eastAsia="仿宋_GB2312"/>
                <w:color w:val="auto"/>
                <w:szCs w:val="21"/>
              </w:rPr>
            </w:pPr>
          </w:p>
        </w:tc>
        <w:tc>
          <w:tcPr>
            <w:tcW w:w="992" w:type="dxa"/>
            <w:vMerge w:val="continue"/>
            <w:tcBorders>
              <w:left w:val="single" w:color="auto" w:sz="4" w:space="0"/>
              <w:bottom w:val="single" w:color="auto" w:sz="4" w:space="0"/>
              <w:right w:val="single" w:color="auto" w:sz="4" w:space="0"/>
            </w:tcBorders>
            <w:shd w:val="clear" w:color="auto" w:fill="auto"/>
            <w:vAlign w:val="center"/>
          </w:tcPr>
          <w:p w14:paraId="2526B5AD">
            <w:pPr>
              <w:widowControl/>
              <w:autoSpaceDE w:val="0"/>
              <w:autoSpaceDN w:val="0"/>
              <w:spacing w:line="280" w:lineRule="exact"/>
              <w:jc w:val="left"/>
              <w:rPr>
                <w:rFonts w:ascii="Times New Roman" w:hAnsi="Times New Roman" w:eastAsia="仿宋_GB2312"/>
                <w:color w:val="auto"/>
                <w:szCs w:val="21"/>
              </w:rPr>
            </w:pPr>
          </w:p>
        </w:tc>
        <w:tc>
          <w:tcPr>
            <w:tcW w:w="1139" w:type="dxa"/>
            <w:vMerge w:val="continue"/>
            <w:tcBorders>
              <w:left w:val="single" w:color="auto" w:sz="4" w:space="0"/>
              <w:bottom w:val="single" w:color="auto" w:sz="4" w:space="0"/>
              <w:right w:val="single" w:color="auto" w:sz="4" w:space="0"/>
            </w:tcBorders>
            <w:shd w:val="clear" w:color="auto" w:fill="auto"/>
            <w:vAlign w:val="center"/>
          </w:tcPr>
          <w:p w14:paraId="2F983C86">
            <w:pPr>
              <w:widowControl/>
              <w:autoSpaceDE w:val="0"/>
              <w:autoSpaceDN w:val="0"/>
              <w:spacing w:line="280" w:lineRule="exact"/>
              <w:jc w:val="center"/>
              <w:rPr>
                <w:rFonts w:ascii="Times New Roman" w:hAnsi="Times New Roman" w:eastAsia="仿宋_GB2312"/>
                <w:color w:val="auto"/>
                <w:szCs w:val="21"/>
              </w:rPr>
            </w:pPr>
          </w:p>
        </w:tc>
        <w:tc>
          <w:tcPr>
            <w:tcW w:w="1491" w:type="dxa"/>
            <w:tcBorders>
              <w:top w:val="single" w:color="auto" w:sz="4" w:space="0"/>
              <w:left w:val="single" w:color="auto" w:sz="4" w:space="0"/>
              <w:bottom w:val="single" w:color="auto" w:sz="4" w:space="0"/>
              <w:right w:val="single" w:color="auto" w:sz="4" w:space="0"/>
            </w:tcBorders>
            <w:shd w:val="clear" w:color="auto" w:fill="auto"/>
            <w:vAlign w:val="center"/>
          </w:tcPr>
          <w:p w14:paraId="6446F30C">
            <w:pPr>
              <w:widowControl/>
              <w:autoSpaceDE w:val="0"/>
              <w:autoSpaceDN w:val="0"/>
              <w:spacing w:line="280" w:lineRule="exact"/>
              <w:jc w:val="center"/>
              <w:rPr>
                <w:rFonts w:ascii="Times New Roman" w:hAnsi="Times New Roman" w:eastAsia="仿宋_GB2312"/>
                <w:color w:val="auto"/>
                <w:szCs w:val="21"/>
              </w:rPr>
            </w:pPr>
            <w:r>
              <w:rPr>
                <w:rFonts w:hint="eastAsia" w:ascii="Times New Roman" w:hAnsi="Times New Roman" w:eastAsia="仿宋_GB2312"/>
                <w:color w:val="auto"/>
                <w:szCs w:val="21"/>
              </w:rPr>
              <w:t>320217716000</w:t>
            </w:r>
          </w:p>
        </w:tc>
        <w:tc>
          <w:tcPr>
            <w:tcW w:w="1481" w:type="dxa"/>
            <w:tcBorders>
              <w:top w:val="single" w:color="auto" w:sz="4" w:space="0"/>
              <w:left w:val="single" w:color="auto" w:sz="4" w:space="0"/>
              <w:bottom w:val="single" w:color="auto" w:sz="4" w:space="0"/>
              <w:right w:val="single" w:color="auto" w:sz="4" w:space="0"/>
            </w:tcBorders>
            <w:shd w:val="clear" w:color="auto" w:fill="auto"/>
            <w:vAlign w:val="center"/>
          </w:tcPr>
          <w:p w14:paraId="4CC5726A">
            <w:pPr>
              <w:widowControl/>
              <w:autoSpaceDE w:val="0"/>
              <w:autoSpaceDN w:val="0"/>
              <w:spacing w:line="280" w:lineRule="exact"/>
              <w:rPr>
                <w:rFonts w:ascii="Times New Roman" w:hAnsi="Times New Roman" w:eastAsia="仿宋_GB2312"/>
                <w:color w:val="auto"/>
                <w:szCs w:val="21"/>
              </w:rPr>
            </w:pPr>
            <w:r>
              <w:rPr>
                <w:rFonts w:hint="eastAsia" w:ascii="Times New Roman" w:hAnsi="Times New Roman" w:eastAsia="仿宋_GB2312"/>
                <w:color w:val="auto"/>
                <w:szCs w:val="21"/>
              </w:rPr>
              <w:t>对建设单位未按照本规定在招标文件中列出危大工程清单的处罚</w:t>
            </w:r>
          </w:p>
        </w:tc>
        <w:tc>
          <w:tcPr>
            <w:tcW w:w="622" w:type="dxa"/>
            <w:tcBorders>
              <w:top w:val="single" w:color="auto" w:sz="4" w:space="0"/>
              <w:left w:val="single" w:color="auto" w:sz="4" w:space="0"/>
              <w:bottom w:val="single" w:color="auto" w:sz="4" w:space="0"/>
              <w:right w:val="single" w:color="auto" w:sz="4" w:space="0"/>
            </w:tcBorders>
            <w:shd w:val="clear" w:color="auto" w:fill="auto"/>
            <w:vAlign w:val="center"/>
          </w:tcPr>
          <w:p w14:paraId="38EE98CC">
            <w:pPr>
              <w:spacing w:line="280" w:lineRule="exact"/>
              <w:jc w:val="center"/>
              <w:rPr>
                <w:rFonts w:ascii="Times New Roman" w:hAnsi="Times New Roman" w:eastAsia="仿宋_GB2312"/>
                <w:color w:val="auto"/>
                <w:kern w:val="0"/>
                <w:szCs w:val="21"/>
              </w:rPr>
            </w:pPr>
          </w:p>
        </w:tc>
      </w:tr>
      <w:tr w14:paraId="33913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3" w:hRule="atLeast"/>
          <w:jc w:val="center"/>
        </w:trPr>
        <w:tc>
          <w:tcPr>
            <w:tcW w:w="536" w:type="dxa"/>
            <w:vMerge w:val="restart"/>
            <w:tcBorders>
              <w:top w:val="single" w:color="auto" w:sz="4" w:space="0"/>
              <w:left w:val="single" w:color="auto" w:sz="4" w:space="0"/>
              <w:right w:val="single" w:color="auto" w:sz="4" w:space="0"/>
            </w:tcBorders>
            <w:shd w:val="clear" w:color="auto" w:fill="auto"/>
            <w:vAlign w:val="center"/>
          </w:tcPr>
          <w:p w14:paraId="1A3440F5">
            <w:pPr>
              <w:widowControl/>
              <w:autoSpaceDE w:val="0"/>
              <w:autoSpaceDN w:val="0"/>
              <w:spacing w:line="280" w:lineRule="exact"/>
              <w:jc w:val="center"/>
              <w:rPr>
                <w:rFonts w:ascii="Times New Roman" w:hAnsi="Times New Roman" w:eastAsia="仿宋_GB2312"/>
                <w:color w:val="auto"/>
                <w:szCs w:val="21"/>
              </w:rPr>
            </w:pPr>
            <w:r>
              <w:rPr>
                <w:rFonts w:hint="eastAsia" w:ascii="Times New Roman" w:hAnsi="Times New Roman" w:eastAsia="仿宋_GB2312"/>
                <w:color w:val="auto"/>
                <w:szCs w:val="21"/>
              </w:rPr>
              <w:t>3</w:t>
            </w:r>
          </w:p>
        </w:tc>
        <w:tc>
          <w:tcPr>
            <w:tcW w:w="1324" w:type="dxa"/>
            <w:vMerge w:val="restart"/>
            <w:tcBorders>
              <w:top w:val="single" w:color="auto" w:sz="4" w:space="0"/>
              <w:left w:val="single" w:color="auto" w:sz="4" w:space="0"/>
              <w:right w:val="single" w:color="auto" w:sz="4" w:space="0"/>
            </w:tcBorders>
            <w:shd w:val="clear" w:color="auto" w:fill="auto"/>
            <w:vAlign w:val="center"/>
          </w:tcPr>
          <w:p w14:paraId="24233624">
            <w:pPr>
              <w:widowControl/>
              <w:autoSpaceDE w:val="0"/>
              <w:autoSpaceDN w:val="0"/>
              <w:spacing w:line="280" w:lineRule="exact"/>
              <w:jc w:val="left"/>
              <w:rPr>
                <w:rFonts w:ascii="Times New Roman" w:hAnsi="Times New Roman" w:eastAsia="仿宋_GB2312"/>
                <w:color w:val="auto"/>
                <w:szCs w:val="21"/>
              </w:rPr>
            </w:pPr>
            <w:r>
              <w:rPr>
                <w:rFonts w:hint="eastAsia" w:ascii="Times New Roman" w:hAnsi="Times New Roman" w:eastAsia="仿宋_GB2312"/>
                <w:color w:val="auto"/>
                <w:szCs w:val="21"/>
              </w:rPr>
              <w:t>对建设工程项目勘察、设计、施工、监理及与工程建设有关的重要设备、材料采购的招标投标活动的行政监督和对招标代理机构的行政检查</w:t>
            </w:r>
          </w:p>
        </w:tc>
        <w:tc>
          <w:tcPr>
            <w:tcW w:w="794" w:type="dxa"/>
            <w:vMerge w:val="restart"/>
            <w:tcBorders>
              <w:top w:val="single" w:color="auto" w:sz="4" w:space="0"/>
              <w:left w:val="single" w:color="auto" w:sz="4" w:space="0"/>
              <w:right w:val="single" w:color="auto" w:sz="4" w:space="0"/>
            </w:tcBorders>
            <w:shd w:val="clear" w:color="auto" w:fill="auto"/>
            <w:vAlign w:val="center"/>
          </w:tcPr>
          <w:p w14:paraId="57142800">
            <w:pPr>
              <w:widowControl/>
              <w:autoSpaceDE w:val="0"/>
              <w:autoSpaceDN w:val="0"/>
              <w:spacing w:line="280" w:lineRule="exact"/>
              <w:jc w:val="center"/>
              <w:rPr>
                <w:rFonts w:ascii="Times New Roman" w:hAnsi="Times New Roman" w:eastAsia="仿宋_GB2312"/>
                <w:color w:val="auto"/>
                <w:szCs w:val="21"/>
              </w:rPr>
            </w:pPr>
            <w:r>
              <w:rPr>
                <w:rFonts w:hint="eastAsia" w:ascii="Times New Roman" w:hAnsi="Times New Roman" w:eastAsia="仿宋_GB2312"/>
                <w:color w:val="auto"/>
                <w:szCs w:val="21"/>
              </w:rPr>
              <w:t>苏州市相城区住房和城乡建设局</w:t>
            </w:r>
          </w:p>
        </w:tc>
        <w:tc>
          <w:tcPr>
            <w:tcW w:w="872" w:type="dxa"/>
            <w:vMerge w:val="restart"/>
            <w:tcBorders>
              <w:top w:val="single" w:color="auto" w:sz="4" w:space="0"/>
              <w:left w:val="single" w:color="auto" w:sz="4" w:space="0"/>
              <w:right w:val="single" w:color="auto" w:sz="4" w:space="0"/>
            </w:tcBorders>
            <w:shd w:val="clear" w:color="auto" w:fill="auto"/>
            <w:vAlign w:val="center"/>
          </w:tcPr>
          <w:p w14:paraId="6D04D9A9">
            <w:pPr>
              <w:widowControl/>
              <w:autoSpaceDE w:val="0"/>
              <w:autoSpaceDN w:val="0"/>
              <w:spacing w:line="280" w:lineRule="exact"/>
              <w:jc w:val="left"/>
              <w:rPr>
                <w:rFonts w:ascii="Times New Roman" w:hAnsi="Times New Roman" w:eastAsia="仿宋_GB2312"/>
                <w:color w:val="auto"/>
                <w:szCs w:val="21"/>
              </w:rPr>
            </w:pPr>
            <w:r>
              <w:rPr>
                <w:rFonts w:hint="eastAsia" w:ascii="Times New Roman" w:hAnsi="Times New Roman" w:eastAsia="仿宋_GB2312"/>
                <w:color w:val="auto"/>
                <w:szCs w:val="21"/>
              </w:rPr>
              <w:t>相城区招投标管理服务中心</w:t>
            </w:r>
          </w:p>
        </w:tc>
        <w:tc>
          <w:tcPr>
            <w:tcW w:w="869" w:type="dxa"/>
            <w:vMerge w:val="restart"/>
            <w:tcBorders>
              <w:top w:val="single" w:color="auto" w:sz="4" w:space="0"/>
              <w:left w:val="single" w:color="auto" w:sz="4" w:space="0"/>
              <w:right w:val="single" w:color="auto" w:sz="4" w:space="0"/>
            </w:tcBorders>
            <w:shd w:val="clear" w:color="auto" w:fill="auto"/>
            <w:vAlign w:val="center"/>
          </w:tcPr>
          <w:p w14:paraId="31601EC2">
            <w:pPr>
              <w:widowControl/>
              <w:autoSpaceDE w:val="0"/>
              <w:autoSpaceDN w:val="0"/>
              <w:spacing w:line="280" w:lineRule="exact"/>
              <w:jc w:val="left"/>
              <w:rPr>
                <w:rFonts w:ascii="Times New Roman" w:hAnsi="Times New Roman" w:eastAsia="仿宋_GB2312"/>
                <w:color w:val="auto"/>
                <w:szCs w:val="21"/>
              </w:rPr>
            </w:pPr>
            <w:r>
              <w:rPr>
                <w:rFonts w:hint="eastAsia" w:ascii="Times New Roman" w:hAnsi="Times New Roman" w:eastAsia="仿宋_GB2312"/>
                <w:color w:val="auto"/>
                <w:szCs w:val="21"/>
              </w:rPr>
              <w:t>招标人、招标代理机构、投标人、中标人、评标委员会</w:t>
            </w:r>
          </w:p>
        </w:tc>
        <w:tc>
          <w:tcPr>
            <w:tcW w:w="4962" w:type="dxa"/>
            <w:vMerge w:val="restart"/>
            <w:tcBorders>
              <w:top w:val="single" w:color="auto" w:sz="4" w:space="0"/>
              <w:left w:val="single" w:color="auto" w:sz="4" w:space="0"/>
              <w:right w:val="single" w:color="auto" w:sz="4" w:space="0"/>
            </w:tcBorders>
            <w:shd w:val="clear" w:color="auto" w:fill="auto"/>
            <w:vAlign w:val="center"/>
          </w:tcPr>
          <w:p w14:paraId="409780CD">
            <w:pPr>
              <w:widowControl/>
              <w:autoSpaceDE w:val="0"/>
              <w:autoSpaceDN w:val="0"/>
              <w:spacing w:line="280" w:lineRule="exact"/>
              <w:jc w:val="left"/>
              <w:rPr>
                <w:rFonts w:ascii="Times New Roman" w:hAnsi="Times New Roman" w:eastAsia="仿宋_GB2312"/>
                <w:color w:val="auto"/>
                <w:szCs w:val="21"/>
              </w:rPr>
            </w:pPr>
            <w:r>
              <w:rPr>
                <w:rFonts w:hint="eastAsia" w:ascii="Times New Roman" w:hAnsi="Times New Roman" w:eastAsia="仿宋_GB2312"/>
                <w:color w:val="auto"/>
                <w:szCs w:val="21"/>
              </w:rPr>
              <w:t>【法</w:t>
            </w:r>
            <w:r>
              <w:rPr>
                <w:rFonts w:hint="eastAsia" w:ascii="Times New Roman" w:hAnsi="Times New Roman" w:eastAsia="仿宋_GB2312"/>
                <w:color w:val="auto"/>
                <w:szCs w:val="21"/>
                <w:lang w:val="en-US" w:eastAsia="zh-CN"/>
              </w:rPr>
              <w:t>律</w:t>
            </w:r>
            <w:r>
              <w:rPr>
                <w:rFonts w:hint="eastAsia" w:ascii="Times New Roman" w:hAnsi="Times New Roman" w:eastAsia="仿宋_GB2312"/>
                <w:color w:val="auto"/>
                <w:szCs w:val="21"/>
              </w:rPr>
              <w:t>】《中华人民共和国招标投标法》</w:t>
            </w:r>
          </w:p>
          <w:p w14:paraId="1DE1D610">
            <w:pPr>
              <w:widowControl/>
              <w:autoSpaceDE w:val="0"/>
              <w:autoSpaceDN w:val="0"/>
              <w:spacing w:line="280" w:lineRule="exact"/>
              <w:jc w:val="left"/>
              <w:rPr>
                <w:rFonts w:ascii="Times New Roman" w:hAnsi="Times New Roman" w:eastAsia="仿宋_GB2312"/>
                <w:color w:val="auto"/>
                <w:szCs w:val="21"/>
              </w:rPr>
            </w:pPr>
            <w:r>
              <w:rPr>
                <w:rFonts w:hint="eastAsia" w:ascii="Times New Roman" w:hAnsi="Times New Roman" w:eastAsia="仿宋_GB2312"/>
                <w:color w:val="auto"/>
                <w:szCs w:val="21"/>
              </w:rPr>
              <w:t xml:space="preserve">    第七条  招标投标活动及其当事人应当接受依法实施的监督。有关行政监督部门依法对招标投标活动实施监督，依法查处招标投标活动中的违法行为。对招标投标活动的行政监督及有关部门的具体职权划分，由国务院规定。</w:t>
            </w:r>
          </w:p>
          <w:p w14:paraId="447F5B43">
            <w:pPr>
              <w:widowControl/>
              <w:autoSpaceDE w:val="0"/>
              <w:autoSpaceDN w:val="0"/>
              <w:spacing w:line="280" w:lineRule="exact"/>
              <w:jc w:val="left"/>
              <w:rPr>
                <w:rFonts w:hint="eastAsia" w:ascii="Times New Roman" w:hAnsi="Times New Roman" w:eastAsia="仿宋_GB2312"/>
                <w:color w:val="auto"/>
                <w:szCs w:val="21"/>
                <w:lang w:eastAsia="zh-CN"/>
              </w:rPr>
            </w:pPr>
            <w:r>
              <w:rPr>
                <w:rFonts w:hint="eastAsia" w:ascii="Times New Roman" w:hAnsi="Times New Roman" w:eastAsia="仿宋_GB2312"/>
                <w:color w:val="auto"/>
                <w:szCs w:val="21"/>
              </w:rPr>
              <w:t>【法规】《中华人民共和国招标投标法实施条例》</w:t>
            </w:r>
          </w:p>
          <w:p w14:paraId="08A543F2">
            <w:pPr>
              <w:widowControl/>
              <w:autoSpaceDE w:val="0"/>
              <w:autoSpaceDN w:val="0"/>
              <w:spacing w:line="280" w:lineRule="exact"/>
              <w:jc w:val="left"/>
              <w:rPr>
                <w:rFonts w:ascii="Times New Roman" w:hAnsi="Times New Roman" w:eastAsia="仿宋_GB2312"/>
                <w:color w:val="auto"/>
                <w:szCs w:val="21"/>
              </w:rPr>
            </w:pPr>
            <w:r>
              <w:rPr>
                <w:rFonts w:hint="eastAsia" w:ascii="Times New Roman" w:hAnsi="Times New Roman" w:eastAsia="仿宋_GB2312"/>
                <w:color w:val="auto"/>
                <w:szCs w:val="21"/>
              </w:rPr>
              <w:t xml:space="preserve">    第四条  国务院发展改革部门指导和协调全国招标投标工作，对国家重大建设项目的工程招标投标活动实施监督检查。国务院工业和信息化、住房城乡建设、交通运输、铁道、水利、商务等部门，按照规定的职责分工对有关招标投标活动实施监督。县级以上地方人民政府发展改革部门指导和协调本行政区域的招标投标工作。县级以上地方人民政府有关部门按照规定的职责分工，对招标投标活动实施监督，依法查处招标投标活动中的违法行为。县级以上地方人民政府对其所属部门有关招标投标活动的监督职责分工另有规定的，从其规定。</w:t>
            </w:r>
          </w:p>
          <w:p w14:paraId="5EA7F2E7">
            <w:pPr>
              <w:widowControl/>
              <w:autoSpaceDE w:val="0"/>
              <w:autoSpaceDN w:val="0"/>
              <w:spacing w:line="280" w:lineRule="exact"/>
              <w:ind w:firstLine="420" w:firstLineChars="200"/>
              <w:jc w:val="left"/>
              <w:rPr>
                <w:rFonts w:ascii="Times New Roman" w:hAnsi="Times New Roman" w:eastAsia="仿宋_GB2312"/>
                <w:color w:val="auto"/>
                <w:szCs w:val="21"/>
              </w:rPr>
            </w:pPr>
            <w:r>
              <w:rPr>
                <w:rFonts w:hint="eastAsia" w:ascii="Times New Roman" w:hAnsi="Times New Roman" w:eastAsia="仿宋_GB2312"/>
                <w:color w:val="auto"/>
                <w:szCs w:val="21"/>
              </w:rPr>
              <w:t>第十一条  国务院住房城乡建设、商务、发展改革、工业和信息化等部门，按照规定的职责分工对招标代理机构依法实施监督管理。</w:t>
            </w:r>
          </w:p>
          <w:p w14:paraId="55A1D880">
            <w:pPr>
              <w:widowControl/>
              <w:autoSpaceDE w:val="0"/>
              <w:autoSpaceDN w:val="0"/>
              <w:spacing w:line="280" w:lineRule="exact"/>
              <w:jc w:val="left"/>
              <w:rPr>
                <w:rFonts w:ascii="Times New Roman" w:hAnsi="Times New Roman" w:eastAsia="仿宋_GB2312"/>
                <w:color w:val="auto"/>
                <w:szCs w:val="21"/>
              </w:rPr>
            </w:pPr>
            <w:r>
              <w:rPr>
                <w:rFonts w:hint="eastAsia" w:ascii="Times New Roman" w:hAnsi="Times New Roman" w:eastAsia="仿宋_GB2312"/>
                <w:color w:val="auto"/>
                <w:szCs w:val="21"/>
              </w:rPr>
              <w:t>【文件】《住房城乡建设部办公厅关于取消工程建设项目招标代理机构资格认定加强事中事后监管的通知》</w:t>
            </w:r>
          </w:p>
          <w:p w14:paraId="5958606A">
            <w:pPr>
              <w:widowControl/>
              <w:autoSpaceDE w:val="0"/>
              <w:autoSpaceDN w:val="0"/>
              <w:spacing w:line="280" w:lineRule="exact"/>
              <w:jc w:val="left"/>
              <w:rPr>
                <w:rFonts w:ascii="Times New Roman" w:hAnsi="Times New Roman" w:eastAsia="仿宋_GB2312"/>
                <w:color w:val="auto"/>
                <w:szCs w:val="21"/>
              </w:rPr>
            </w:pPr>
            <w:r>
              <w:rPr>
                <w:rFonts w:hint="eastAsia" w:ascii="Times New Roman" w:hAnsi="Times New Roman" w:eastAsia="仿宋_GB2312"/>
                <w:color w:val="auto"/>
                <w:szCs w:val="21"/>
              </w:rPr>
              <w:t xml:space="preserve">    各级住房城乡建设主管部门要高度重视招标代理机构资格认定取消后的事中事后监管工作，完善工作机制，创新监管手段，加强工程建设项目招标投标活动监管，依法严肃查处违法违规行为，促进招投标活动有序开展。</w:t>
            </w:r>
          </w:p>
        </w:tc>
        <w:tc>
          <w:tcPr>
            <w:tcW w:w="992" w:type="dxa"/>
            <w:vMerge w:val="restart"/>
            <w:tcBorders>
              <w:top w:val="single" w:color="auto" w:sz="4" w:space="0"/>
              <w:left w:val="single" w:color="auto" w:sz="4" w:space="0"/>
              <w:right w:val="single" w:color="auto" w:sz="4" w:space="0"/>
            </w:tcBorders>
            <w:shd w:val="clear" w:color="auto" w:fill="auto"/>
            <w:vAlign w:val="center"/>
          </w:tcPr>
          <w:p w14:paraId="3EF3E9D8">
            <w:pPr>
              <w:widowControl/>
              <w:autoSpaceDE w:val="0"/>
              <w:autoSpaceDN w:val="0"/>
              <w:spacing w:line="280" w:lineRule="exact"/>
              <w:jc w:val="center"/>
              <w:rPr>
                <w:rFonts w:ascii="Times New Roman" w:hAnsi="Times New Roman" w:eastAsia="仿宋_GB2312"/>
                <w:color w:val="auto"/>
                <w:szCs w:val="21"/>
              </w:rPr>
            </w:pPr>
            <w:r>
              <w:rPr>
                <w:rFonts w:hint="eastAsia" w:ascii="Times New Roman" w:hAnsi="Times New Roman" w:eastAsia="仿宋_GB2312"/>
                <w:color w:val="auto"/>
                <w:szCs w:val="21"/>
              </w:rPr>
              <w:t>现场</w:t>
            </w:r>
          </w:p>
          <w:p w14:paraId="59048150">
            <w:pPr>
              <w:widowControl/>
              <w:autoSpaceDE w:val="0"/>
              <w:autoSpaceDN w:val="0"/>
              <w:spacing w:line="280" w:lineRule="exact"/>
              <w:jc w:val="center"/>
              <w:rPr>
                <w:rFonts w:ascii="Times New Roman" w:hAnsi="Times New Roman" w:eastAsia="仿宋_GB2312"/>
                <w:color w:val="auto"/>
                <w:szCs w:val="21"/>
              </w:rPr>
            </w:pPr>
            <w:r>
              <w:rPr>
                <w:rFonts w:hint="eastAsia" w:ascii="Times New Roman" w:hAnsi="Times New Roman" w:eastAsia="仿宋_GB2312"/>
                <w:color w:val="auto"/>
                <w:szCs w:val="21"/>
              </w:rPr>
              <w:t>检查</w:t>
            </w:r>
          </w:p>
        </w:tc>
        <w:tc>
          <w:tcPr>
            <w:tcW w:w="1139" w:type="dxa"/>
            <w:vMerge w:val="restart"/>
            <w:tcBorders>
              <w:top w:val="single" w:color="auto" w:sz="4" w:space="0"/>
              <w:left w:val="single" w:color="auto" w:sz="4" w:space="0"/>
              <w:right w:val="single" w:color="auto" w:sz="4" w:space="0"/>
            </w:tcBorders>
            <w:shd w:val="clear" w:color="auto" w:fill="auto"/>
            <w:vAlign w:val="center"/>
          </w:tcPr>
          <w:p w14:paraId="50F314C0">
            <w:pPr>
              <w:widowControl/>
              <w:autoSpaceDE w:val="0"/>
              <w:autoSpaceDN w:val="0"/>
              <w:spacing w:line="280" w:lineRule="exact"/>
              <w:jc w:val="center"/>
              <w:rPr>
                <w:rFonts w:ascii="Times New Roman" w:hAnsi="Times New Roman" w:eastAsia="仿宋_GB2312"/>
                <w:color w:val="auto"/>
                <w:szCs w:val="21"/>
              </w:rPr>
            </w:pPr>
            <w:r>
              <w:rPr>
                <w:rFonts w:hint="eastAsia" w:ascii="Times New Roman" w:hAnsi="Times New Roman" w:eastAsia="仿宋_GB2312"/>
                <w:color w:val="auto"/>
                <w:szCs w:val="21"/>
              </w:rPr>
              <w:t>双随机检查，不少于总标段数的5%且不少于10个标段；</w:t>
            </w:r>
          </w:p>
          <w:p w14:paraId="7C224E24">
            <w:pPr>
              <w:widowControl/>
              <w:autoSpaceDE w:val="0"/>
              <w:autoSpaceDN w:val="0"/>
              <w:spacing w:line="280" w:lineRule="exact"/>
              <w:jc w:val="center"/>
              <w:rPr>
                <w:rFonts w:ascii="Times New Roman" w:hAnsi="Times New Roman" w:eastAsia="仿宋_GB2312"/>
                <w:color w:val="auto"/>
                <w:szCs w:val="21"/>
              </w:rPr>
            </w:pPr>
            <w:r>
              <w:rPr>
                <w:rFonts w:hint="eastAsia" w:ascii="Times New Roman" w:hAnsi="Times New Roman" w:eastAsia="仿宋_GB2312"/>
                <w:color w:val="auto"/>
                <w:szCs w:val="21"/>
              </w:rPr>
              <w:t>对招标代理机构的行政检查与招投标检查合并进行</w:t>
            </w:r>
          </w:p>
        </w:tc>
        <w:tc>
          <w:tcPr>
            <w:tcW w:w="1491" w:type="dxa"/>
            <w:tcBorders>
              <w:top w:val="single" w:color="auto" w:sz="4" w:space="0"/>
              <w:left w:val="single" w:color="auto" w:sz="4" w:space="0"/>
              <w:bottom w:val="single" w:color="auto" w:sz="4" w:space="0"/>
              <w:right w:val="single" w:color="auto" w:sz="4" w:space="0"/>
            </w:tcBorders>
            <w:shd w:val="clear" w:color="auto" w:fill="auto"/>
            <w:vAlign w:val="center"/>
          </w:tcPr>
          <w:p w14:paraId="63809351">
            <w:pPr>
              <w:widowControl/>
              <w:autoSpaceDE w:val="0"/>
              <w:autoSpaceDN w:val="0"/>
              <w:spacing w:line="280" w:lineRule="exact"/>
              <w:jc w:val="center"/>
              <w:rPr>
                <w:rFonts w:ascii="Times New Roman" w:hAnsi="Times New Roman" w:eastAsia="仿宋_GB2312"/>
                <w:color w:val="auto"/>
                <w:szCs w:val="21"/>
              </w:rPr>
            </w:pPr>
            <w:r>
              <w:rPr>
                <w:rFonts w:hint="eastAsia" w:ascii="Times New Roman" w:hAnsi="Times New Roman" w:eastAsia="仿宋_GB2312"/>
                <w:color w:val="auto"/>
                <w:szCs w:val="21"/>
              </w:rPr>
              <w:t>320217700000</w:t>
            </w:r>
          </w:p>
        </w:tc>
        <w:tc>
          <w:tcPr>
            <w:tcW w:w="1481" w:type="dxa"/>
            <w:tcBorders>
              <w:top w:val="single" w:color="auto" w:sz="4" w:space="0"/>
              <w:left w:val="single" w:color="auto" w:sz="4" w:space="0"/>
              <w:bottom w:val="single" w:color="auto" w:sz="4" w:space="0"/>
              <w:right w:val="single" w:color="auto" w:sz="4" w:space="0"/>
            </w:tcBorders>
            <w:shd w:val="clear" w:color="auto" w:fill="auto"/>
            <w:vAlign w:val="center"/>
          </w:tcPr>
          <w:p w14:paraId="5B9C8A91">
            <w:pPr>
              <w:widowControl/>
              <w:autoSpaceDE w:val="0"/>
              <w:autoSpaceDN w:val="0"/>
              <w:spacing w:line="280" w:lineRule="exact"/>
              <w:rPr>
                <w:rFonts w:ascii="Times New Roman" w:hAnsi="Times New Roman" w:eastAsia="仿宋_GB2312"/>
                <w:color w:val="auto"/>
                <w:szCs w:val="21"/>
              </w:rPr>
            </w:pPr>
            <w:r>
              <w:rPr>
                <w:rFonts w:hint="eastAsia" w:ascii="Times New Roman" w:hAnsi="Times New Roman" w:eastAsia="仿宋_GB2312"/>
                <w:color w:val="auto"/>
                <w:szCs w:val="21"/>
              </w:rPr>
              <w:t>对依法必须进行招标的项目的招标人不按照规定组建评标委员会，或者确定、更换评标委员会成员违反招标投标法和招标投标法实施条例规定的处罚</w:t>
            </w:r>
          </w:p>
        </w:tc>
        <w:tc>
          <w:tcPr>
            <w:tcW w:w="622" w:type="dxa"/>
            <w:tcBorders>
              <w:top w:val="single" w:color="auto" w:sz="4" w:space="0"/>
              <w:left w:val="single" w:color="auto" w:sz="4" w:space="0"/>
              <w:right w:val="single" w:color="auto" w:sz="4" w:space="0"/>
            </w:tcBorders>
            <w:shd w:val="clear" w:color="auto" w:fill="auto"/>
            <w:vAlign w:val="center"/>
          </w:tcPr>
          <w:p w14:paraId="3E0A562A">
            <w:pPr>
              <w:spacing w:line="280" w:lineRule="exact"/>
              <w:jc w:val="center"/>
              <w:rPr>
                <w:rFonts w:ascii="Times New Roman" w:hAnsi="Times New Roman" w:eastAsia="仿宋_GB2312"/>
                <w:color w:val="auto"/>
                <w:kern w:val="0"/>
                <w:szCs w:val="21"/>
              </w:rPr>
            </w:pPr>
          </w:p>
        </w:tc>
      </w:tr>
      <w:tr w14:paraId="03C8F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0" w:hRule="atLeast"/>
          <w:jc w:val="center"/>
        </w:trPr>
        <w:tc>
          <w:tcPr>
            <w:tcW w:w="536" w:type="dxa"/>
            <w:vMerge w:val="continue"/>
            <w:tcBorders>
              <w:left w:val="single" w:color="auto" w:sz="4" w:space="0"/>
              <w:right w:val="single" w:color="auto" w:sz="4" w:space="0"/>
            </w:tcBorders>
            <w:shd w:val="clear" w:color="auto" w:fill="auto"/>
            <w:vAlign w:val="center"/>
          </w:tcPr>
          <w:p w14:paraId="0383CDED">
            <w:pPr>
              <w:widowControl/>
              <w:autoSpaceDE w:val="0"/>
              <w:autoSpaceDN w:val="0"/>
              <w:spacing w:line="280" w:lineRule="exact"/>
              <w:jc w:val="left"/>
              <w:rPr>
                <w:rFonts w:ascii="Times New Roman" w:hAnsi="Times New Roman" w:eastAsia="仿宋_GB2312"/>
                <w:color w:val="auto"/>
                <w:szCs w:val="21"/>
              </w:rPr>
            </w:pPr>
          </w:p>
        </w:tc>
        <w:tc>
          <w:tcPr>
            <w:tcW w:w="1324" w:type="dxa"/>
            <w:vMerge w:val="continue"/>
            <w:tcBorders>
              <w:left w:val="single" w:color="auto" w:sz="4" w:space="0"/>
              <w:right w:val="single" w:color="auto" w:sz="4" w:space="0"/>
            </w:tcBorders>
            <w:shd w:val="clear" w:color="auto" w:fill="auto"/>
            <w:vAlign w:val="center"/>
          </w:tcPr>
          <w:p w14:paraId="7E71F840">
            <w:pPr>
              <w:widowControl/>
              <w:autoSpaceDE w:val="0"/>
              <w:autoSpaceDN w:val="0"/>
              <w:spacing w:line="280" w:lineRule="exact"/>
              <w:jc w:val="left"/>
              <w:rPr>
                <w:rFonts w:ascii="Times New Roman" w:hAnsi="Times New Roman" w:eastAsia="仿宋_GB2312"/>
                <w:color w:val="auto"/>
                <w:szCs w:val="21"/>
              </w:rPr>
            </w:pPr>
          </w:p>
        </w:tc>
        <w:tc>
          <w:tcPr>
            <w:tcW w:w="794" w:type="dxa"/>
            <w:vMerge w:val="continue"/>
            <w:tcBorders>
              <w:left w:val="single" w:color="auto" w:sz="4" w:space="0"/>
              <w:right w:val="single" w:color="auto" w:sz="4" w:space="0"/>
            </w:tcBorders>
            <w:shd w:val="clear" w:color="auto" w:fill="auto"/>
            <w:vAlign w:val="center"/>
          </w:tcPr>
          <w:p w14:paraId="6883EAB6">
            <w:pPr>
              <w:widowControl/>
              <w:autoSpaceDE w:val="0"/>
              <w:autoSpaceDN w:val="0"/>
              <w:spacing w:line="280" w:lineRule="exact"/>
              <w:jc w:val="left"/>
              <w:rPr>
                <w:rFonts w:ascii="Times New Roman" w:hAnsi="Times New Roman" w:eastAsia="仿宋_GB2312"/>
                <w:color w:val="auto"/>
                <w:szCs w:val="21"/>
              </w:rPr>
            </w:pPr>
          </w:p>
        </w:tc>
        <w:tc>
          <w:tcPr>
            <w:tcW w:w="872" w:type="dxa"/>
            <w:vMerge w:val="continue"/>
            <w:tcBorders>
              <w:left w:val="single" w:color="auto" w:sz="4" w:space="0"/>
              <w:right w:val="single" w:color="auto" w:sz="4" w:space="0"/>
            </w:tcBorders>
            <w:shd w:val="clear" w:color="auto" w:fill="auto"/>
            <w:vAlign w:val="center"/>
          </w:tcPr>
          <w:p w14:paraId="5BDB8FE6">
            <w:pPr>
              <w:widowControl/>
              <w:autoSpaceDE w:val="0"/>
              <w:autoSpaceDN w:val="0"/>
              <w:spacing w:line="280" w:lineRule="exact"/>
              <w:jc w:val="left"/>
              <w:rPr>
                <w:rFonts w:ascii="Times New Roman" w:hAnsi="Times New Roman" w:eastAsia="仿宋_GB2312"/>
                <w:color w:val="auto"/>
                <w:szCs w:val="21"/>
              </w:rPr>
            </w:pPr>
          </w:p>
        </w:tc>
        <w:tc>
          <w:tcPr>
            <w:tcW w:w="869" w:type="dxa"/>
            <w:vMerge w:val="continue"/>
            <w:tcBorders>
              <w:left w:val="single" w:color="auto" w:sz="4" w:space="0"/>
              <w:right w:val="single" w:color="auto" w:sz="4" w:space="0"/>
            </w:tcBorders>
            <w:shd w:val="clear" w:color="auto" w:fill="auto"/>
            <w:vAlign w:val="center"/>
          </w:tcPr>
          <w:p w14:paraId="2F1DFAB3">
            <w:pPr>
              <w:widowControl/>
              <w:autoSpaceDE w:val="0"/>
              <w:autoSpaceDN w:val="0"/>
              <w:spacing w:line="280" w:lineRule="exact"/>
              <w:jc w:val="left"/>
              <w:rPr>
                <w:rFonts w:ascii="Times New Roman" w:hAnsi="Times New Roman" w:eastAsia="仿宋_GB2312"/>
                <w:color w:val="auto"/>
                <w:szCs w:val="21"/>
              </w:rPr>
            </w:pPr>
          </w:p>
        </w:tc>
        <w:tc>
          <w:tcPr>
            <w:tcW w:w="4962" w:type="dxa"/>
            <w:vMerge w:val="continue"/>
            <w:tcBorders>
              <w:left w:val="single" w:color="auto" w:sz="4" w:space="0"/>
              <w:right w:val="single" w:color="auto" w:sz="4" w:space="0"/>
            </w:tcBorders>
            <w:shd w:val="clear" w:color="auto" w:fill="auto"/>
            <w:vAlign w:val="center"/>
          </w:tcPr>
          <w:p w14:paraId="169B4DA5">
            <w:pPr>
              <w:widowControl/>
              <w:autoSpaceDE w:val="0"/>
              <w:autoSpaceDN w:val="0"/>
              <w:spacing w:line="280" w:lineRule="exact"/>
              <w:jc w:val="left"/>
              <w:rPr>
                <w:rFonts w:ascii="Times New Roman" w:hAnsi="Times New Roman" w:eastAsia="仿宋_GB2312"/>
                <w:color w:val="auto"/>
                <w:szCs w:val="21"/>
              </w:rPr>
            </w:pPr>
          </w:p>
        </w:tc>
        <w:tc>
          <w:tcPr>
            <w:tcW w:w="992" w:type="dxa"/>
            <w:vMerge w:val="continue"/>
            <w:tcBorders>
              <w:left w:val="single" w:color="auto" w:sz="4" w:space="0"/>
              <w:right w:val="single" w:color="auto" w:sz="4" w:space="0"/>
            </w:tcBorders>
            <w:shd w:val="clear" w:color="auto" w:fill="auto"/>
            <w:vAlign w:val="center"/>
          </w:tcPr>
          <w:p w14:paraId="5100D1D1">
            <w:pPr>
              <w:widowControl/>
              <w:autoSpaceDE w:val="0"/>
              <w:autoSpaceDN w:val="0"/>
              <w:spacing w:line="280" w:lineRule="exact"/>
              <w:jc w:val="left"/>
              <w:rPr>
                <w:rFonts w:ascii="Times New Roman" w:hAnsi="Times New Roman" w:eastAsia="仿宋_GB2312"/>
                <w:color w:val="auto"/>
                <w:szCs w:val="21"/>
              </w:rPr>
            </w:pPr>
          </w:p>
        </w:tc>
        <w:tc>
          <w:tcPr>
            <w:tcW w:w="1139" w:type="dxa"/>
            <w:vMerge w:val="continue"/>
            <w:tcBorders>
              <w:left w:val="single" w:color="auto" w:sz="4" w:space="0"/>
              <w:right w:val="single" w:color="auto" w:sz="4" w:space="0"/>
            </w:tcBorders>
            <w:shd w:val="clear" w:color="auto" w:fill="auto"/>
            <w:vAlign w:val="center"/>
          </w:tcPr>
          <w:p w14:paraId="25342EE4">
            <w:pPr>
              <w:widowControl/>
              <w:autoSpaceDE w:val="0"/>
              <w:autoSpaceDN w:val="0"/>
              <w:spacing w:line="280" w:lineRule="exact"/>
              <w:jc w:val="center"/>
              <w:rPr>
                <w:rFonts w:ascii="Times New Roman" w:hAnsi="Times New Roman" w:eastAsia="仿宋_GB2312"/>
                <w:color w:val="auto"/>
                <w:szCs w:val="21"/>
              </w:rPr>
            </w:pPr>
          </w:p>
        </w:tc>
        <w:tc>
          <w:tcPr>
            <w:tcW w:w="1491" w:type="dxa"/>
            <w:tcBorders>
              <w:top w:val="single" w:color="auto" w:sz="4" w:space="0"/>
              <w:left w:val="single" w:color="auto" w:sz="4" w:space="0"/>
              <w:bottom w:val="single" w:color="auto" w:sz="4" w:space="0"/>
              <w:right w:val="single" w:color="auto" w:sz="4" w:space="0"/>
            </w:tcBorders>
            <w:shd w:val="clear" w:color="auto" w:fill="auto"/>
            <w:vAlign w:val="center"/>
          </w:tcPr>
          <w:p w14:paraId="7D7F2FE9">
            <w:pPr>
              <w:widowControl/>
              <w:autoSpaceDE w:val="0"/>
              <w:autoSpaceDN w:val="0"/>
              <w:spacing w:line="280" w:lineRule="exact"/>
              <w:jc w:val="center"/>
              <w:rPr>
                <w:rFonts w:ascii="Times New Roman" w:hAnsi="Times New Roman" w:eastAsia="仿宋_GB2312"/>
                <w:color w:val="auto"/>
                <w:szCs w:val="21"/>
              </w:rPr>
            </w:pPr>
            <w:r>
              <w:rPr>
                <w:rFonts w:hint="eastAsia" w:ascii="Times New Roman" w:hAnsi="Times New Roman" w:eastAsia="仿宋_GB2312"/>
                <w:color w:val="auto"/>
                <w:szCs w:val="21"/>
              </w:rPr>
              <w:t>320217695000</w:t>
            </w:r>
          </w:p>
        </w:tc>
        <w:tc>
          <w:tcPr>
            <w:tcW w:w="1481" w:type="dxa"/>
            <w:tcBorders>
              <w:top w:val="single" w:color="auto" w:sz="4" w:space="0"/>
              <w:left w:val="single" w:color="auto" w:sz="4" w:space="0"/>
              <w:bottom w:val="single" w:color="auto" w:sz="4" w:space="0"/>
              <w:right w:val="single" w:color="auto" w:sz="4" w:space="0"/>
            </w:tcBorders>
            <w:shd w:val="clear" w:color="auto" w:fill="auto"/>
            <w:vAlign w:val="center"/>
          </w:tcPr>
          <w:p w14:paraId="63E6B8D9">
            <w:pPr>
              <w:widowControl/>
              <w:autoSpaceDE w:val="0"/>
              <w:autoSpaceDN w:val="0"/>
              <w:spacing w:line="280" w:lineRule="exact"/>
              <w:rPr>
                <w:rFonts w:ascii="Times New Roman" w:hAnsi="Times New Roman" w:eastAsia="仿宋_GB2312"/>
                <w:color w:val="auto"/>
                <w:szCs w:val="21"/>
              </w:rPr>
            </w:pPr>
            <w:r>
              <w:rPr>
                <w:rFonts w:hint="eastAsia" w:ascii="Times New Roman" w:hAnsi="Times New Roman" w:eastAsia="仿宋_GB2312"/>
                <w:color w:val="auto"/>
                <w:szCs w:val="21"/>
              </w:rPr>
              <w:t>对投标人相互串通投标或者与招标人串通投标的，投标人以向招标人或者评标委员会成员行贿的手段谋取中标的处罚</w:t>
            </w:r>
          </w:p>
        </w:tc>
        <w:tc>
          <w:tcPr>
            <w:tcW w:w="622" w:type="dxa"/>
            <w:tcBorders>
              <w:left w:val="single" w:color="auto" w:sz="4" w:space="0"/>
              <w:right w:val="single" w:color="auto" w:sz="4" w:space="0"/>
            </w:tcBorders>
            <w:shd w:val="clear" w:color="auto" w:fill="auto"/>
            <w:vAlign w:val="center"/>
          </w:tcPr>
          <w:p w14:paraId="6DC2D8B0">
            <w:pPr>
              <w:spacing w:line="280" w:lineRule="exact"/>
              <w:jc w:val="center"/>
              <w:rPr>
                <w:rFonts w:ascii="Times New Roman" w:hAnsi="Times New Roman" w:eastAsia="仿宋_GB2312"/>
                <w:color w:val="auto"/>
                <w:kern w:val="0"/>
                <w:szCs w:val="21"/>
              </w:rPr>
            </w:pPr>
          </w:p>
        </w:tc>
      </w:tr>
      <w:tr w14:paraId="174CA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6" w:type="dxa"/>
            <w:vMerge w:val="continue"/>
            <w:tcBorders>
              <w:left w:val="single" w:color="auto" w:sz="4" w:space="0"/>
              <w:bottom w:val="single" w:color="auto" w:sz="4" w:space="0"/>
              <w:right w:val="single" w:color="auto" w:sz="4" w:space="0"/>
            </w:tcBorders>
            <w:shd w:val="clear" w:color="auto" w:fill="auto"/>
            <w:vAlign w:val="center"/>
          </w:tcPr>
          <w:p w14:paraId="14AF6C5D">
            <w:pPr>
              <w:widowControl/>
              <w:autoSpaceDE w:val="0"/>
              <w:autoSpaceDN w:val="0"/>
              <w:spacing w:line="280" w:lineRule="exact"/>
              <w:jc w:val="left"/>
              <w:rPr>
                <w:rFonts w:ascii="Times New Roman" w:hAnsi="Times New Roman" w:eastAsia="仿宋_GB2312"/>
                <w:color w:val="auto"/>
                <w:szCs w:val="21"/>
              </w:rPr>
            </w:pPr>
          </w:p>
        </w:tc>
        <w:tc>
          <w:tcPr>
            <w:tcW w:w="1324" w:type="dxa"/>
            <w:vMerge w:val="continue"/>
            <w:tcBorders>
              <w:left w:val="single" w:color="auto" w:sz="4" w:space="0"/>
              <w:bottom w:val="single" w:color="auto" w:sz="4" w:space="0"/>
              <w:right w:val="single" w:color="auto" w:sz="4" w:space="0"/>
            </w:tcBorders>
            <w:shd w:val="clear" w:color="auto" w:fill="auto"/>
            <w:vAlign w:val="center"/>
          </w:tcPr>
          <w:p w14:paraId="606FDED0">
            <w:pPr>
              <w:widowControl/>
              <w:autoSpaceDE w:val="0"/>
              <w:autoSpaceDN w:val="0"/>
              <w:spacing w:line="280" w:lineRule="exact"/>
              <w:jc w:val="left"/>
              <w:rPr>
                <w:rFonts w:ascii="Times New Roman" w:hAnsi="Times New Roman" w:eastAsia="仿宋_GB2312"/>
                <w:color w:val="auto"/>
                <w:szCs w:val="21"/>
              </w:rPr>
            </w:pPr>
          </w:p>
        </w:tc>
        <w:tc>
          <w:tcPr>
            <w:tcW w:w="794" w:type="dxa"/>
            <w:vMerge w:val="continue"/>
            <w:tcBorders>
              <w:left w:val="single" w:color="auto" w:sz="4" w:space="0"/>
              <w:bottom w:val="single" w:color="auto" w:sz="4" w:space="0"/>
              <w:right w:val="single" w:color="auto" w:sz="4" w:space="0"/>
            </w:tcBorders>
            <w:shd w:val="clear" w:color="auto" w:fill="auto"/>
            <w:vAlign w:val="center"/>
          </w:tcPr>
          <w:p w14:paraId="61B01884">
            <w:pPr>
              <w:widowControl/>
              <w:autoSpaceDE w:val="0"/>
              <w:autoSpaceDN w:val="0"/>
              <w:spacing w:line="280" w:lineRule="exact"/>
              <w:jc w:val="left"/>
              <w:rPr>
                <w:rFonts w:ascii="Times New Roman" w:hAnsi="Times New Roman" w:eastAsia="仿宋_GB2312"/>
                <w:color w:val="auto"/>
                <w:szCs w:val="21"/>
              </w:rPr>
            </w:pPr>
          </w:p>
        </w:tc>
        <w:tc>
          <w:tcPr>
            <w:tcW w:w="872" w:type="dxa"/>
            <w:vMerge w:val="continue"/>
            <w:tcBorders>
              <w:left w:val="single" w:color="auto" w:sz="4" w:space="0"/>
              <w:bottom w:val="single" w:color="auto" w:sz="4" w:space="0"/>
              <w:right w:val="single" w:color="auto" w:sz="4" w:space="0"/>
            </w:tcBorders>
            <w:shd w:val="clear" w:color="auto" w:fill="auto"/>
            <w:vAlign w:val="center"/>
          </w:tcPr>
          <w:p w14:paraId="5026B7BD">
            <w:pPr>
              <w:widowControl/>
              <w:autoSpaceDE w:val="0"/>
              <w:autoSpaceDN w:val="0"/>
              <w:spacing w:line="280" w:lineRule="exact"/>
              <w:jc w:val="left"/>
              <w:rPr>
                <w:rFonts w:ascii="Times New Roman" w:hAnsi="Times New Roman" w:eastAsia="仿宋_GB2312"/>
                <w:color w:val="auto"/>
                <w:szCs w:val="21"/>
              </w:rPr>
            </w:pPr>
          </w:p>
        </w:tc>
        <w:tc>
          <w:tcPr>
            <w:tcW w:w="869" w:type="dxa"/>
            <w:vMerge w:val="continue"/>
            <w:tcBorders>
              <w:left w:val="single" w:color="auto" w:sz="4" w:space="0"/>
              <w:bottom w:val="single" w:color="auto" w:sz="4" w:space="0"/>
              <w:right w:val="single" w:color="auto" w:sz="4" w:space="0"/>
            </w:tcBorders>
            <w:shd w:val="clear" w:color="auto" w:fill="auto"/>
            <w:vAlign w:val="center"/>
          </w:tcPr>
          <w:p w14:paraId="170A9F93">
            <w:pPr>
              <w:widowControl/>
              <w:autoSpaceDE w:val="0"/>
              <w:autoSpaceDN w:val="0"/>
              <w:spacing w:line="280" w:lineRule="exact"/>
              <w:jc w:val="left"/>
              <w:rPr>
                <w:rFonts w:ascii="Times New Roman" w:hAnsi="Times New Roman" w:eastAsia="仿宋_GB2312"/>
                <w:color w:val="auto"/>
                <w:szCs w:val="21"/>
              </w:rPr>
            </w:pPr>
          </w:p>
        </w:tc>
        <w:tc>
          <w:tcPr>
            <w:tcW w:w="4962" w:type="dxa"/>
            <w:vMerge w:val="continue"/>
            <w:tcBorders>
              <w:left w:val="single" w:color="auto" w:sz="4" w:space="0"/>
              <w:bottom w:val="single" w:color="auto" w:sz="4" w:space="0"/>
              <w:right w:val="single" w:color="auto" w:sz="4" w:space="0"/>
            </w:tcBorders>
            <w:shd w:val="clear" w:color="auto" w:fill="auto"/>
            <w:vAlign w:val="center"/>
          </w:tcPr>
          <w:p w14:paraId="36E58CAD">
            <w:pPr>
              <w:widowControl/>
              <w:autoSpaceDE w:val="0"/>
              <w:autoSpaceDN w:val="0"/>
              <w:spacing w:line="280" w:lineRule="exact"/>
              <w:jc w:val="left"/>
              <w:rPr>
                <w:rFonts w:ascii="Times New Roman" w:hAnsi="Times New Roman" w:eastAsia="仿宋_GB2312"/>
                <w:color w:val="auto"/>
                <w:szCs w:val="21"/>
              </w:rPr>
            </w:pPr>
          </w:p>
        </w:tc>
        <w:tc>
          <w:tcPr>
            <w:tcW w:w="992" w:type="dxa"/>
            <w:vMerge w:val="continue"/>
            <w:tcBorders>
              <w:left w:val="single" w:color="auto" w:sz="4" w:space="0"/>
              <w:bottom w:val="single" w:color="auto" w:sz="4" w:space="0"/>
              <w:right w:val="single" w:color="auto" w:sz="4" w:space="0"/>
            </w:tcBorders>
            <w:shd w:val="clear" w:color="auto" w:fill="auto"/>
            <w:vAlign w:val="center"/>
          </w:tcPr>
          <w:p w14:paraId="18668660">
            <w:pPr>
              <w:widowControl/>
              <w:autoSpaceDE w:val="0"/>
              <w:autoSpaceDN w:val="0"/>
              <w:spacing w:line="280" w:lineRule="exact"/>
              <w:jc w:val="left"/>
              <w:rPr>
                <w:rFonts w:ascii="Times New Roman" w:hAnsi="Times New Roman" w:eastAsia="仿宋_GB2312"/>
                <w:color w:val="auto"/>
                <w:szCs w:val="21"/>
              </w:rPr>
            </w:pPr>
          </w:p>
        </w:tc>
        <w:tc>
          <w:tcPr>
            <w:tcW w:w="1139" w:type="dxa"/>
            <w:vMerge w:val="continue"/>
            <w:tcBorders>
              <w:left w:val="single" w:color="auto" w:sz="4" w:space="0"/>
              <w:bottom w:val="single" w:color="auto" w:sz="4" w:space="0"/>
              <w:right w:val="single" w:color="auto" w:sz="4" w:space="0"/>
            </w:tcBorders>
            <w:shd w:val="clear" w:color="auto" w:fill="auto"/>
            <w:vAlign w:val="center"/>
          </w:tcPr>
          <w:p w14:paraId="58D4E0FA">
            <w:pPr>
              <w:widowControl/>
              <w:autoSpaceDE w:val="0"/>
              <w:autoSpaceDN w:val="0"/>
              <w:spacing w:line="280" w:lineRule="exact"/>
              <w:jc w:val="center"/>
              <w:rPr>
                <w:rFonts w:ascii="Times New Roman" w:hAnsi="Times New Roman" w:eastAsia="仿宋_GB2312"/>
                <w:color w:val="auto"/>
                <w:szCs w:val="21"/>
              </w:rPr>
            </w:pPr>
          </w:p>
        </w:tc>
        <w:tc>
          <w:tcPr>
            <w:tcW w:w="1491" w:type="dxa"/>
            <w:tcBorders>
              <w:top w:val="single" w:color="auto" w:sz="4" w:space="0"/>
              <w:left w:val="single" w:color="auto" w:sz="4" w:space="0"/>
              <w:bottom w:val="single" w:color="auto" w:sz="4" w:space="0"/>
              <w:right w:val="single" w:color="auto" w:sz="4" w:space="0"/>
            </w:tcBorders>
            <w:shd w:val="clear" w:color="auto" w:fill="auto"/>
            <w:vAlign w:val="center"/>
          </w:tcPr>
          <w:p w14:paraId="541F2FBE">
            <w:pPr>
              <w:widowControl/>
              <w:autoSpaceDE w:val="0"/>
              <w:autoSpaceDN w:val="0"/>
              <w:spacing w:line="280" w:lineRule="exact"/>
              <w:jc w:val="center"/>
              <w:rPr>
                <w:rFonts w:ascii="Times New Roman" w:hAnsi="Times New Roman" w:eastAsia="仿宋_GB2312"/>
                <w:color w:val="auto"/>
                <w:szCs w:val="21"/>
              </w:rPr>
            </w:pPr>
            <w:r>
              <w:rPr>
                <w:rFonts w:hint="eastAsia" w:ascii="Times New Roman" w:hAnsi="Times New Roman" w:eastAsia="仿宋_GB2312"/>
                <w:color w:val="auto"/>
                <w:szCs w:val="21"/>
              </w:rPr>
              <w:t>320217673000</w:t>
            </w:r>
          </w:p>
        </w:tc>
        <w:tc>
          <w:tcPr>
            <w:tcW w:w="1481" w:type="dxa"/>
            <w:tcBorders>
              <w:top w:val="single" w:color="auto" w:sz="4" w:space="0"/>
              <w:left w:val="single" w:color="auto" w:sz="4" w:space="0"/>
              <w:bottom w:val="single" w:color="auto" w:sz="4" w:space="0"/>
              <w:right w:val="single" w:color="auto" w:sz="4" w:space="0"/>
            </w:tcBorders>
            <w:shd w:val="clear" w:color="auto" w:fill="auto"/>
            <w:vAlign w:val="center"/>
          </w:tcPr>
          <w:p w14:paraId="4F83D513">
            <w:pPr>
              <w:widowControl/>
              <w:autoSpaceDE w:val="0"/>
              <w:autoSpaceDN w:val="0"/>
              <w:spacing w:line="280" w:lineRule="exact"/>
              <w:rPr>
                <w:rFonts w:ascii="Times New Roman" w:hAnsi="Times New Roman" w:eastAsia="仿宋_GB2312"/>
                <w:color w:val="auto"/>
                <w:szCs w:val="21"/>
              </w:rPr>
            </w:pPr>
            <w:r>
              <w:rPr>
                <w:rFonts w:hint="eastAsia" w:ascii="Times New Roman" w:hAnsi="Times New Roman" w:eastAsia="仿宋_GB2312"/>
                <w:color w:val="auto"/>
                <w:szCs w:val="21"/>
              </w:rPr>
              <w:t>对招标人与中标人不按照招标文件和中标人的投标文件订立合同的，合同的主要条款与招标文件、中标人的投标文件内容</w:t>
            </w:r>
          </w:p>
        </w:tc>
        <w:tc>
          <w:tcPr>
            <w:tcW w:w="622" w:type="dxa"/>
            <w:tcBorders>
              <w:left w:val="single" w:color="auto" w:sz="4" w:space="0"/>
              <w:bottom w:val="single" w:color="auto" w:sz="4" w:space="0"/>
              <w:right w:val="single" w:color="auto" w:sz="4" w:space="0"/>
            </w:tcBorders>
            <w:shd w:val="clear" w:color="auto" w:fill="auto"/>
            <w:vAlign w:val="center"/>
          </w:tcPr>
          <w:p w14:paraId="4C0CD7D0">
            <w:pPr>
              <w:spacing w:line="280" w:lineRule="exact"/>
              <w:jc w:val="center"/>
              <w:rPr>
                <w:rFonts w:ascii="Times New Roman" w:hAnsi="Times New Roman" w:eastAsia="仿宋_GB2312"/>
                <w:color w:val="auto"/>
                <w:kern w:val="0"/>
                <w:szCs w:val="21"/>
              </w:rPr>
            </w:pPr>
          </w:p>
        </w:tc>
      </w:tr>
      <w:tr w14:paraId="7712C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3" w:hRule="atLeast"/>
          <w:jc w:val="center"/>
        </w:trPr>
        <w:tc>
          <w:tcPr>
            <w:tcW w:w="536" w:type="dxa"/>
            <w:vMerge w:val="restart"/>
            <w:tcBorders>
              <w:top w:val="single" w:color="auto" w:sz="4" w:space="0"/>
              <w:left w:val="single" w:color="auto" w:sz="4" w:space="0"/>
              <w:right w:val="single" w:color="auto" w:sz="4" w:space="0"/>
            </w:tcBorders>
            <w:shd w:val="clear" w:color="auto" w:fill="auto"/>
            <w:vAlign w:val="center"/>
          </w:tcPr>
          <w:p w14:paraId="5567E9A6">
            <w:pPr>
              <w:widowControl/>
              <w:autoSpaceDE w:val="0"/>
              <w:autoSpaceDN w:val="0"/>
              <w:spacing w:line="280" w:lineRule="exact"/>
              <w:jc w:val="center"/>
              <w:rPr>
                <w:rFonts w:ascii="Times New Roman" w:hAnsi="Times New Roman" w:eastAsia="仿宋_GB2312"/>
                <w:color w:val="auto"/>
                <w:szCs w:val="21"/>
              </w:rPr>
            </w:pPr>
            <w:r>
              <w:rPr>
                <w:rFonts w:hint="eastAsia" w:ascii="Times New Roman" w:hAnsi="Times New Roman" w:eastAsia="仿宋_GB2312"/>
                <w:color w:val="auto"/>
                <w:szCs w:val="21"/>
              </w:rPr>
              <w:t>3</w:t>
            </w:r>
          </w:p>
        </w:tc>
        <w:tc>
          <w:tcPr>
            <w:tcW w:w="1324" w:type="dxa"/>
            <w:vMerge w:val="restart"/>
            <w:tcBorders>
              <w:top w:val="single" w:color="auto" w:sz="4" w:space="0"/>
              <w:left w:val="single" w:color="auto" w:sz="4" w:space="0"/>
              <w:right w:val="single" w:color="auto" w:sz="4" w:space="0"/>
            </w:tcBorders>
            <w:shd w:val="clear" w:color="auto" w:fill="auto"/>
            <w:vAlign w:val="center"/>
          </w:tcPr>
          <w:p w14:paraId="0D2CD24F">
            <w:pPr>
              <w:widowControl/>
              <w:autoSpaceDE w:val="0"/>
              <w:autoSpaceDN w:val="0"/>
              <w:spacing w:line="280" w:lineRule="exact"/>
              <w:jc w:val="left"/>
              <w:rPr>
                <w:rFonts w:ascii="Times New Roman" w:hAnsi="Times New Roman" w:eastAsia="仿宋_GB2312"/>
                <w:color w:val="auto"/>
                <w:szCs w:val="21"/>
              </w:rPr>
            </w:pPr>
            <w:r>
              <w:rPr>
                <w:rFonts w:hint="eastAsia" w:ascii="Times New Roman" w:hAnsi="Times New Roman" w:eastAsia="仿宋_GB2312"/>
                <w:color w:val="auto"/>
                <w:szCs w:val="21"/>
              </w:rPr>
              <w:t>对建设工程项目勘察、设计、施工、监理及与工程建设有关的重要设备、材料采购的招标投标活动的行政监督和对招标代理机构的行政检查</w:t>
            </w:r>
          </w:p>
        </w:tc>
        <w:tc>
          <w:tcPr>
            <w:tcW w:w="794" w:type="dxa"/>
            <w:vMerge w:val="restart"/>
            <w:tcBorders>
              <w:top w:val="single" w:color="auto" w:sz="4" w:space="0"/>
              <w:left w:val="single" w:color="auto" w:sz="4" w:space="0"/>
              <w:right w:val="single" w:color="auto" w:sz="4" w:space="0"/>
            </w:tcBorders>
            <w:shd w:val="clear" w:color="auto" w:fill="auto"/>
            <w:vAlign w:val="center"/>
          </w:tcPr>
          <w:p w14:paraId="57C59DB8">
            <w:pPr>
              <w:widowControl/>
              <w:autoSpaceDE w:val="0"/>
              <w:autoSpaceDN w:val="0"/>
              <w:spacing w:line="280" w:lineRule="exact"/>
              <w:jc w:val="center"/>
              <w:rPr>
                <w:rFonts w:ascii="Times New Roman" w:hAnsi="Times New Roman" w:eastAsia="仿宋_GB2312"/>
                <w:color w:val="auto"/>
                <w:szCs w:val="21"/>
              </w:rPr>
            </w:pPr>
            <w:r>
              <w:rPr>
                <w:rFonts w:hint="eastAsia" w:ascii="Times New Roman" w:hAnsi="Times New Roman" w:eastAsia="仿宋_GB2312"/>
                <w:color w:val="auto"/>
                <w:szCs w:val="21"/>
              </w:rPr>
              <w:t>苏州市相城区住房和城乡建设局</w:t>
            </w:r>
          </w:p>
        </w:tc>
        <w:tc>
          <w:tcPr>
            <w:tcW w:w="872" w:type="dxa"/>
            <w:vMerge w:val="restart"/>
            <w:tcBorders>
              <w:top w:val="single" w:color="auto" w:sz="4" w:space="0"/>
              <w:left w:val="single" w:color="auto" w:sz="4" w:space="0"/>
              <w:right w:val="single" w:color="auto" w:sz="4" w:space="0"/>
            </w:tcBorders>
            <w:shd w:val="clear" w:color="auto" w:fill="auto"/>
            <w:vAlign w:val="center"/>
          </w:tcPr>
          <w:p w14:paraId="488C892E">
            <w:pPr>
              <w:widowControl/>
              <w:autoSpaceDE w:val="0"/>
              <w:autoSpaceDN w:val="0"/>
              <w:spacing w:line="280" w:lineRule="exact"/>
              <w:jc w:val="left"/>
              <w:rPr>
                <w:rFonts w:ascii="Times New Roman" w:hAnsi="Times New Roman" w:eastAsia="仿宋_GB2312"/>
                <w:color w:val="auto"/>
                <w:szCs w:val="21"/>
              </w:rPr>
            </w:pPr>
            <w:r>
              <w:rPr>
                <w:rFonts w:hint="eastAsia" w:ascii="Times New Roman" w:hAnsi="Times New Roman" w:eastAsia="仿宋_GB2312"/>
                <w:color w:val="auto"/>
                <w:szCs w:val="21"/>
              </w:rPr>
              <w:t>相城区招投标管理服务中心</w:t>
            </w:r>
          </w:p>
        </w:tc>
        <w:tc>
          <w:tcPr>
            <w:tcW w:w="869" w:type="dxa"/>
            <w:vMerge w:val="restart"/>
            <w:tcBorders>
              <w:top w:val="single" w:color="auto" w:sz="4" w:space="0"/>
              <w:left w:val="single" w:color="auto" w:sz="4" w:space="0"/>
              <w:right w:val="single" w:color="auto" w:sz="4" w:space="0"/>
            </w:tcBorders>
            <w:shd w:val="clear" w:color="auto" w:fill="auto"/>
            <w:vAlign w:val="center"/>
          </w:tcPr>
          <w:p w14:paraId="267191C9">
            <w:pPr>
              <w:widowControl/>
              <w:autoSpaceDE w:val="0"/>
              <w:autoSpaceDN w:val="0"/>
              <w:spacing w:line="280" w:lineRule="exact"/>
              <w:jc w:val="left"/>
              <w:rPr>
                <w:rFonts w:ascii="Times New Roman" w:hAnsi="Times New Roman" w:eastAsia="仿宋_GB2312"/>
                <w:color w:val="auto"/>
                <w:szCs w:val="21"/>
              </w:rPr>
            </w:pPr>
            <w:r>
              <w:rPr>
                <w:rFonts w:hint="eastAsia" w:ascii="Times New Roman" w:hAnsi="Times New Roman" w:eastAsia="仿宋_GB2312"/>
                <w:color w:val="auto"/>
                <w:szCs w:val="21"/>
              </w:rPr>
              <w:t>招标人、招标代理机构、投标人、中标人、评标委员会</w:t>
            </w:r>
          </w:p>
        </w:tc>
        <w:tc>
          <w:tcPr>
            <w:tcW w:w="4962" w:type="dxa"/>
            <w:vMerge w:val="restart"/>
            <w:tcBorders>
              <w:top w:val="single" w:color="auto" w:sz="4" w:space="0"/>
              <w:left w:val="single" w:color="auto" w:sz="4" w:space="0"/>
              <w:right w:val="single" w:color="auto" w:sz="4" w:space="0"/>
            </w:tcBorders>
            <w:shd w:val="clear" w:color="auto" w:fill="auto"/>
            <w:vAlign w:val="center"/>
          </w:tcPr>
          <w:p w14:paraId="0C615635">
            <w:pPr>
              <w:widowControl/>
              <w:autoSpaceDE w:val="0"/>
              <w:autoSpaceDN w:val="0"/>
              <w:spacing w:line="280" w:lineRule="exact"/>
              <w:jc w:val="left"/>
              <w:rPr>
                <w:rFonts w:ascii="Times New Roman" w:hAnsi="Times New Roman" w:eastAsia="仿宋_GB2312"/>
                <w:color w:val="auto"/>
                <w:szCs w:val="21"/>
              </w:rPr>
            </w:pPr>
            <w:r>
              <w:rPr>
                <w:rFonts w:hint="eastAsia" w:ascii="Times New Roman" w:hAnsi="Times New Roman" w:eastAsia="仿宋_GB2312"/>
                <w:color w:val="auto"/>
                <w:szCs w:val="21"/>
              </w:rPr>
              <w:t>【</w:t>
            </w:r>
            <w:r>
              <w:rPr>
                <w:rFonts w:hint="eastAsia" w:ascii="Times New Roman" w:hAnsi="Times New Roman" w:eastAsia="仿宋_GB2312"/>
                <w:color w:val="auto"/>
                <w:szCs w:val="21"/>
                <w:lang w:val="en-US" w:eastAsia="zh-CN"/>
              </w:rPr>
              <w:t>法律</w:t>
            </w:r>
            <w:r>
              <w:rPr>
                <w:rFonts w:hint="eastAsia" w:ascii="Times New Roman" w:hAnsi="Times New Roman" w:eastAsia="仿宋_GB2312"/>
                <w:color w:val="auto"/>
                <w:szCs w:val="21"/>
              </w:rPr>
              <w:t>】《中华人民共和国招标投标法》</w:t>
            </w:r>
          </w:p>
          <w:p w14:paraId="21172746">
            <w:pPr>
              <w:widowControl/>
              <w:autoSpaceDE w:val="0"/>
              <w:autoSpaceDN w:val="0"/>
              <w:spacing w:line="280" w:lineRule="exact"/>
              <w:jc w:val="left"/>
              <w:rPr>
                <w:rFonts w:ascii="Times New Roman" w:hAnsi="Times New Roman" w:eastAsia="仿宋_GB2312"/>
                <w:color w:val="auto"/>
                <w:szCs w:val="21"/>
              </w:rPr>
            </w:pPr>
            <w:r>
              <w:rPr>
                <w:rFonts w:hint="eastAsia" w:ascii="Times New Roman" w:hAnsi="Times New Roman" w:eastAsia="仿宋_GB2312"/>
                <w:color w:val="auto"/>
                <w:szCs w:val="21"/>
              </w:rPr>
              <w:t xml:space="preserve">    第七条  招标投标活动及其当事人应当接受依法实施的监督。有关行政监督部门依法对招标投标活动实施监督，依法查处招标投标活动中的违法行为。对招标投标活动的行政监督及有关部门的具体职权划分，由国务院规定。</w:t>
            </w:r>
          </w:p>
          <w:p w14:paraId="3A5BD798">
            <w:pPr>
              <w:widowControl/>
              <w:autoSpaceDE w:val="0"/>
              <w:autoSpaceDN w:val="0"/>
              <w:spacing w:line="280" w:lineRule="exact"/>
              <w:jc w:val="left"/>
              <w:rPr>
                <w:rFonts w:hint="eastAsia" w:ascii="Times New Roman" w:hAnsi="Times New Roman" w:eastAsia="仿宋_GB2312"/>
                <w:color w:val="auto"/>
                <w:szCs w:val="21"/>
                <w:lang w:eastAsia="zh-CN"/>
              </w:rPr>
            </w:pPr>
            <w:r>
              <w:rPr>
                <w:rFonts w:hint="eastAsia" w:ascii="Times New Roman" w:hAnsi="Times New Roman" w:eastAsia="仿宋_GB2312"/>
                <w:color w:val="auto"/>
                <w:szCs w:val="21"/>
              </w:rPr>
              <w:t>【法规】《中华人民共和国招标投标法实施条例》</w:t>
            </w:r>
          </w:p>
          <w:p w14:paraId="2C1BE02F">
            <w:pPr>
              <w:widowControl/>
              <w:autoSpaceDE w:val="0"/>
              <w:autoSpaceDN w:val="0"/>
              <w:spacing w:line="280" w:lineRule="exact"/>
              <w:jc w:val="left"/>
              <w:rPr>
                <w:rFonts w:ascii="Times New Roman" w:hAnsi="Times New Roman" w:eastAsia="仿宋_GB2312"/>
                <w:color w:val="auto"/>
                <w:szCs w:val="21"/>
              </w:rPr>
            </w:pPr>
            <w:r>
              <w:rPr>
                <w:rFonts w:hint="eastAsia" w:ascii="Times New Roman" w:hAnsi="Times New Roman" w:eastAsia="仿宋_GB2312"/>
                <w:color w:val="auto"/>
                <w:szCs w:val="21"/>
              </w:rPr>
              <w:t xml:space="preserve">    第四条  国务院发展改革部门指导和协调全国招标投标工作，对国家重大建设项目的工程招标投标活动实施监督检查。国务院工业和信息化、住房城乡建设、交通运输、铁道、水利、商务等部门，按照规定的职责分工对有关招标投标活动实施监督。县级以上地方人民政府发展改革部门指导和协调本行政区域的招标投标工作。县级以上地方人民政府有关部门按照规定的职责分工，对招标投标活动实施监督，依法查处招标投标活动中的违法行为。县级以上地方人民政府对其所属部门有关招标投标活动的监督职责分工另有规定的，从其规定。</w:t>
            </w:r>
          </w:p>
          <w:p w14:paraId="293A097B">
            <w:pPr>
              <w:widowControl/>
              <w:autoSpaceDE w:val="0"/>
              <w:autoSpaceDN w:val="0"/>
              <w:spacing w:line="280" w:lineRule="exact"/>
              <w:ind w:firstLine="420" w:firstLineChars="200"/>
              <w:jc w:val="left"/>
              <w:rPr>
                <w:rFonts w:ascii="Times New Roman" w:hAnsi="Times New Roman" w:eastAsia="仿宋_GB2312"/>
                <w:color w:val="auto"/>
                <w:szCs w:val="21"/>
              </w:rPr>
            </w:pPr>
            <w:r>
              <w:rPr>
                <w:rFonts w:hint="eastAsia" w:ascii="Times New Roman" w:hAnsi="Times New Roman" w:eastAsia="仿宋_GB2312"/>
                <w:color w:val="auto"/>
                <w:szCs w:val="21"/>
              </w:rPr>
              <w:t>第十一条  国务院住房城乡建设、商务、发展改革、工业和信息化等部门，按照规定的职责分工对招标代理机构依法实施监督管理。</w:t>
            </w:r>
          </w:p>
          <w:p w14:paraId="37B614D7">
            <w:pPr>
              <w:widowControl/>
              <w:autoSpaceDE w:val="0"/>
              <w:autoSpaceDN w:val="0"/>
              <w:spacing w:line="280" w:lineRule="exact"/>
              <w:jc w:val="left"/>
              <w:rPr>
                <w:rFonts w:ascii="Times New Roman" w:hAnsi="Times New Roman" w:eastAsia="仿宋_GB2312"/>
                <w:color w:val="auto"/>
                <w:szCs w:val="21"/>
              </w:rPr>
            </w:pPr>
            <w:r>
              <w:rPr>
                <w:rFonts w:hint="eastAsia" w:ascii="Times New Roman" w:hAnsi="Times New Roman" w:eastAsia="仿宋_GB2312"/>
                <w:color w:val="auto"/>
                <w:szCs w:val="21"/>
              </w:rPr>
              <w:t>【文件】《住房城乡建设部办公厅关于取消工程建设项目招标代理机构资格认定加强事中事后监管的通知》</w:t>
            </w:r>
          </w:p>
          <w:p w14:paraId="7F40A79D">
            <w:pPr>
              <w:widowControl/>
              <w:autoSpaceDE w:val="0"/>
              <w:autoSpaceDN w:val="0"/>
              <w:spacing w:line="280" w:lineRule="exact"/>
              <w:jc w:val="left"/>
              <w:rPr>
                <w:rFonts w:ascii="Times New Roman" w:hAnsi="Times New Roman" w:eastAsia="仿宋_GB2312"/>
                <w:color w:val="auto"/>
                <w:szCs w:val="21"/>
              </w:rPr>
            </w:pPr>
            <w:r>
              <w:rPr>
                <w:rFonts w:hint="eastAsia" w:ascii="Times New Roman" w:hAnsi="Times New Roman" w:eastAsia="仿宋_GB2312"/>
                <w:color w:val="auto"/>
                <w:szCs w:val="21"/>
              </w:rPr>
              <w:t xml:space="preserve">    各级住房城乡建设主管部门要高度重视招标代理机构资格认定取消后的事中事后监管工作，完善工作机制，创新监管手段，加强工程建设项目招标投标活动监管，依法严肃查处违法违规行为，促进招投标活动有序开展。</w:t>
            </w:r>
          </w:p>
        </w:tc>
        <w:tc>
          <w:tcPr>
            <w:tcW w:w="992" w:type="dxa"/>
            <w:vMerge w:val="restart"/>
            <w:tcBorders>
              <w:top w:val="single" w:color="auto" w:sz="4" w:space="0"/>
              <w:left w:val="single" w:color="auto" w:sz="4" w:space="0"/>
              <w:right w:val="single" w:color="auto" w:sz="4" w:space="0"/>
            </w:tcBorders>
            <w:shd w:val="clear" w:color="auto" w:fill="auto"/>
            <w:vAlign w:val="center"/>
          </w:tcPr>
          <w:p w14:paraId="3FE099A3">
            <w:pPr>
              <w:widowControl/>
              <w:autoSpaceDE w:val="0"/>
              <w:autoSpaceDN w:val="0"/>
              <w:spacing w:line="280" w:lineRule="exact"/>
              <w:jc w:val="center"/>
              <w:rPr>
                <w:rFonts w:ascii="Times New Roman" w:hAnsi="Times New Roman" w:eastAsia="仿宋_GB2312"/>
                <w:color w:val="auto"/>
                <w:szCs w:val="21"/>
              </w:rPr>
            </w:pPr>
            <w:r>
              <w:rPr>
                <w:rFonts w:hint="eastAsia" w:ascii="Times New Roman" w:hAnsi="Times New Roman" w:eastAsia="仿宋_GB2312"/>
                <w:color w:val="auto"/>
                <w:szCs w:val="21"/>
              </w:rPr>
              <w:t>现场</w:t>
            </w:r>
          </w:p>
          <w:p w14:paraId="56A981DA">
            <w:pPr>
              <w:widowControl/>
              <w:autoSpaceDE w:val="0"/>
              <w:autoSpaceDN w:val="0"/>
              <w:spacing w:line="280" w:lineRule="exact"/>
              <w:jc w:val="center"/>
              <w:rPr>
                <w:rFonts w:ascii="Times New Roman" w:hAnsi="Times New Roman" w:eastAsia="仿宋_GB2312"/>
                <w:color w:val="auto"/>
                <w:szCs w:val="21"/>
              </w:rPr>
            </w:pPr>
            <w:r>
              <w:rPr>
                <w:rFonts w:hint="eastAsia" w:ascii="Times New Roman" w:hAnsi="Times New Roman" w:eastAsia="仿宋_GB2312"/>
                <w:color w:val="auto"/>
                <w:szCs w:val="21"/>
              </w:rPr>
              <w:t>检查</w:t>
            </w:r>
          </w:p>
        </w:tc>
        <w:tc>
          <w:tcPr>
            <w:tcW w:w="1139" w:type="dxa"/>
            <w:vMerge w:val="restart"/>
            <w:tcBorders>
              <w:top w:val="single" w:color="auto" w:sz="4" w:space="0"/>
              <w:left w:val="single" w:color="auto" w:sz="4" w:space="0"/>
              <w:right w:val="single" w:color="auto" w:sz="4" w:space="0"/>
            </w:tcBorders>
            <w:shd w:val="clear" w:color="auto" w:fill="auto"/>
            <w:vAlign w:val="center"/>
          </w:tcPr>
          <w:p w14:paraId="25E99138">
            <w:pPr>
              <w:widowControl/>
              <w:autoSpaceDE w:val="0"/>
              <w:autoSpaceDN w:val="0"/>
              <w:spacing w:line="280" w:lineRule="exact"/>
              <w:jc w:val="center"/>
              <w:rPr>
                <w:rFonts w:ascii="Times New Roman" w:hAnsi="Times New Roman" w:eastAsia="仿宋_GB2312"/>
                <w:color w:val="auto"/>
                <w:szCs w:val="21"/>
              </w:rPr>
            </w:pPr>
            <w:r>
              <w:rPr>
                <w:rFonts w:hint="eastAsia" w:ascii="Times New Roman" w:hAnsi="Times New Roman" w:eastAsia="仿宋_GB2312"/>
                <w:color w:val="auto"/>
                <w:szCs w:val="21"/>
              </w:rPr>
              <w:t>双随机检查，不少于总标段数的5%且不少于10个标段；</w:t>
            </w:r>
          </w:p>
          <w:p w14:paraId="3ADB5D83">
            <w:pPr>
              <w:widowControl/>
              <w:autoSpaceDE w:val="0"/>
              <w:autoSpaceDN w:val="0"/>
              <w:spacing w:line="280" w:lineRule="exact"/>
              <w:jc w:val="center"/>
              <w:rPr>
                <w:rFonts w:ascii="Times New Roman" w:hAnsi="Times New Roman" w:eastAsia="仿宋_GB2312"/>
                <w:color w:val="auto"/>
                <w:szCs w:val="21"/>
              </w:rPr>
            </w:pPr>
            <w:r>
              <w:rPr>
                <w:rFonts w:hint="eastAsia" w:ascii="Times New Roman" w:hAnsi="Times New Roman" w:eastAsia="仿宋_GB2312"/>
                <w:color w:val="auto"/>
                <w:szCs w:val="21"/>
              </w:rPr>
              <w:t>对招标代理机构的行政检查与招投标检查合并进行</w:t>
            </w:r>
          </w:p>
        </w:tc>
        <w:tc>
          <w:tcPr>
            <w:tcW w:w="1491" w:type="dxa"/>
            <w:tcBorders>
              <w:top w:val="single" w:color="auto" w:sz="4" w:space="0"/>
              <w:left w:val="single" w:color="auto" w:sz="4" w:space="0"/>
              <w:bottom w:val="single" w:color="auto" w:sz="4" w:space="0"/>
              <w:right w:val="single" w:color="auto" w:sz="4" w:space="0"/>
            </w:tcBorders>
            <w:shd w:val="clear" w:color="auto" w:fill="auto"/>
            <w:vAlign w:val="center"/>
          </w:tcPr>
          <w:p w14:paraId="1A7C5E52">
            <w:pPr>
              <w:widowControl/>
              <w:autoSpaceDE w:val="0"/>
              <w:autoSpaceDN w:val="0"/>
              <w:spacing w:line="280" w:lineRule="exact"/>
              <w:jc w:val="center"/>
              <w:rPr>
                <w:rFonts w:ascii="Times New Roman" w:hAnsi="Times New Roman" w:eastAsia="仿宋_GB2312"/>
                <w:color w:val="auto"/>
                <w:szCs w:val="21"/>
              </w:rPr>
            </w:pPr>
            <w:r>
              <w:rPr>
                <w:rFonts w:hint="eastAsia" w:ascii="Times New Roman" w:hAnsi="Times New Roman" w:eastAsia="仿宋_GB2312"/>
                <w:color w:val="auto"/>
                <w:szCs w:val="21"/>
              </w:rPr>
              <w:t>320217673000</w:t>
            </w:r>
          </w:p>
        </w:tc>
        <w:tc>
          <w:tcPr>
            <w:tcW w:w="1481" w:type="dxa"/>
            <w:tcBorders>
              <w:top w:val="single" w:color="auto" w:sz="4" w:space="0"/>
              <w:left w:val="single" w:color="auto" w:sz="4" w:space="0"/>
              <w:bottom w:val="single" w:color="auto" w:sz="4" w:space="0"/>
              <w:right w:val="single" w:color="auto" w:sz="4" w:space="0"/>
            </w:tcBorders>
            <w:shd w:val="clear" w:color="auto" w:fill="auto"/>
            <w:vAlign w:val="center"/>
          </w:tcPr>
          <w:p w14:paraId="7C4F2281">
            <w:pPr>
              <w:widowControl/>
              <w:autoSpaceDE w:val="0"/>
              <w:autoSpaceDN w:val="0"/>
              <w:spacing w:line="280" w:lineRule="exact"/>
              <w:rPr>
                <w:rFonts w:ascii="Times New Roman" w:hAnsi="Times New Roman" w:eastAsia="仿宋_GB2312"/>
                <w:color w:val="auto"/>
                <w:szCs w:val="21"/>
              </w:rPr>
            </w:pPr>
            <w:r>
              <w:rPr>
                <w:rFonts w:hint="eastAsia" w:ascii="Times New Roman" w:hAnsi="Times New Roman" w:eastAsia="仿宋_GB2312"/>
                <w:color w:val="auto"/>
                <w:szCs w:val="21"/>
              </w:rPr>
              <w:t>不一致，或者招标人、中标人订立背离合同实质性内容的协议的处罚</w:t>
            </w:r>
          </w:p>
        </w:tc>
        <w:tc>
          <w:tcPr>
            <w:tcW w:w="622" w:type="dxa"/>
            <w:tcBorders>
              <w:top w:val="single" w:color="auto" w:sz="4" w:space="0"/>
              <w:left w:val="single" w:color="auto" w:sz="4" w:space="0"/>
              <w:right w:val="single" w:color="auto" w:sz="4" w:space="0"/>
            </w:tcBorders>
            <w:shd w:val="clear" w:color="auto" w:fill="auto"/>
            <w:vAlign w:val="center"/>
          </w:tcPr>
          <w:p w14:paraId="5D0C9E01">
            <w:pPr>
              <w:spacing w:line="280" w:lineRule="exact"/>
              <w:jc w:val="center"/>
              <w:rPr>
                <w:rFonts w:ascii="Times New Roman" w:hAnsi="Times New Roman" w:eastAsia="仿宋_GB2312"/>
                <w:color w:val="auto"/>
                <w:kern w:val="0"/>
                <w:szCs w:val="21"/>
              </w:rPr>
            </w:pPr>
          </w:p>
        </w:tc>
      </w:tr>
      <w:tr w14:paraId="2CD0D5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7" w:hRule="atLeast"/>
          <w:jc w:val="center"/>
        </w:trPr>
        <w:tc>
          <w:tcPr>
            <w:tcW w:w="536" w:type="dxa"/>
            <w:vMerge w:val="continue"/>
            <w:tcBorders>
              <w:left w:val="single" w:color="auto" w:sz="4" w:space="0"/>
              <w:right w:val="single" w:color="auto" w:sz="4" w:space="0"/>
            </w:tcBorders>
            <w:shd w:val="clear" w:color="auto" w:fill="auto"/>
            <w:vAlign w:val="center"/>
          </w:tcPr>
          <w:p w14:paraId="4D2DF5F2">
            <w:pPr>
              <w:widowControl/>
              <w:autoSpaceDE w:val="0"/>
              <w:autoSpaceDN w:val="0"/>
              <w:spacing w:line="280" w:lineRule="exact"/>
              <w:jc w:val="left"/>
              <w:rPr>
                <w:rFonts w:ascii="Times New Roman" w:hAnsi="Times New Roman" w:eastAsia="仿宋_GB2312"/>
                <w:color w:val="auto"/>
                <w:szCs w:val="21"/>
              </w:rPr>
            </w:pPr>
          </w:p>
        </w:tc>
        <w:tc>
          <w:tcPr>
            <w:tcW w:w="1324" w:type="dxa"/>
            <w:vMerge w:val="continue"/>
            <w:tcBorders>
              <w:left w:val="single" w:color="auto" w:sz="4" w:space="0"/>
              <w:right w:val="single" w:color="auto" w:sz="4" w:space="0"/>
            </w:tcBorders>
            <w:shd w:val="clear" w:color="auto" w:fill="auto"/>
            <w:vAlign w:val="center"/>
          </w:tcPr>
          <w:p w14:paraId="0104B434">
            <w:pPr>
              <w:widowControl/>
              <w:autoSpaceDE w:val="0"/>
              <w:autoSpaceDN w:val="0"/>
              <w:spacing w:line="280" w:lineRule="exact"/>
              <w:jc w:val="left"/>
              <w:rPr>
                <w:rFonts w:ascii="Times New Roman" w:hAnsi="Times New Roman" w:eastAsia="仿宋_GB2312"/>
                <w:color w:val="auto"/>
                <w:szCs w:val="21"/>
              </w:rPr>
            </w:pPr>
          </w:p>
        </w:tc>
        <w:tc>
          <w:tcPr>
            <w:tcW w:w="794" w:type="dxa"/>
            <w:vMerge w:val="continue"/>
            <w:tcBorders>
              <w:left w:val="single" w:color="auto" w:sz="4" w:space="0"/>
              <w:right w:val="single" w:color="auto" w:sz="4" w:space="0"/>
            </w:tcBorders>
            <w:shd w:val="clear" w:color="auto" w:fill="auto"/>
            <w:vAlign w:val="center"/>
          </w:tcPr>
          <w:p w14:paraId="379A6592">
            <w:pPr>
              <w:widowControl/>
              <w:autoSpaceDE w:val="0"/>
              <w:autoSpaceDN w:val="0"/>
              <w:spacing w:line="280" w:lineRule="exact"/>
              <w:jc w:val="left"/>
              <w:rPr>
                <w:rFonts w:ascii="Times New Roman" w:hAnsi="Times New Roman" w:eastAsia="仿宋_GB2312"/>
                <w:color w:val="auto"/>
                <w:szCs w:val="21"/>
              </w:rPr>
            </w:pPr>
          </w:p>
        </w:tc>
        <w:tc>
          <w:tcPr>
            <w:tcW w:w="872" w:type="dxa"/>
            <w:vMerge w:val="continue"/>
            <w:tcBorders>
              <w:left w:val="single" w:color="auto" w:sz="4" w:space="0"/>
              <w:right w:val="single" w:color="auto" w:sz="4" w:space="0"/>
            </w:tcBorders>
            <w:shd w:val="clear" w:color="auto" w:fill="auto"/>
            <w:vAlign w:val="center"/>
          </w:tcPr>
          <w:p w14:paraId="0B58E072">
            <w:pPr>
              <w:widowControl/>
              <w:autoSpaceDE w:val="0"/>
              <w:autoSpaceDN w:val="0"/>
              <w:spacing w:line="280" w:lineRule="exact"/>
              <w:jc w:val="left"/>
              <w:rPr>
                <w:rFonts w:ascii="Times New Roman" w:hAnsi="Times New Roman" w:eastAsia="仿宋_GB2312"/>
                <w:color w:val="auto"/>
                <w:szCs w:val="21"/>
              </w:rPr>
            </w:pPr>
          </w:p>
        </w:tc>
        <w:tc>
          <w:tcPr>
            <w:tcW w:w="869" w:type="dxa"/>
            <w:vMerge w:val="continue"/>
            <w:tcBorders>
              <w:left w:val="single" w:color="auto" w:sz="4" w:space="0"/>
              <w:right w:val="single" w:color="auto" w:sz="4" w:space="0"/>
            </w:tcBorders>
            <w:shd w:val="clear" w:color="auto" w:fill="auto"/>
            <w:vAlign w:val="center"/>
          </w:tcPr>
          <w:p w14:paraId="0021A817">
            <w:pPr>
              <w:widowControl/>
              <w:autoSpaceDE w:val="0"/>
              <w:autoSpaceDN w:val="0"/>
              <w:spacing w:line="280" w:lineRule="exact"/>
              <w:jc w:val="left"/>
              <w:rPr>
                <w:rFonts w:ascii="Times New Roman" w:hAnsi="Times New Roman" w:eastAsia="仿宋_GB2312"/>
                <w:color w:val="auto"/>
                <w:szCs w:val="21"/>
              </w:rPr>
            </w:pPr>
          </w:p>
        </w:tc>
        <w:tc>
          <w:tcPr>
            <w:tcW w:w="4962" w:type="dxa"/>
            <w:vMerge w:val="continue"/>
            <w:tcBorders>
              <w:left w:val="single" w:color="auto" w:sz="4" w:space="0"/>
              <w:right w:val="single" w:color="auto" w:sz="4" w:space="0"/>
            </w:tcBorders>
            <w:shd w:val="clear" w:color="auto" w:fill="auto"/>
            <w:vAlign w:val="center"/>
          </w:tcPr>
          <w:p w14:paraId="5BC5E9B2">
            <w:pPr>
              <w:widowControl/>
              <w:autoSpaceDE w:val="0"/>
              <w:autoSpaceDN w:val="0"/>
              <w:spacing w:line="280" w:lineRule="exact"/>
              <w:jc w:val="left"/>
              <w:rPr>
                <w:rFonts w:ascii="Times New Roman" w:hAnsi="Times New Roman" w:eastAsia="仿宋_GB2312"/>
                <w:color w:val="auto"/>
                <w:szCs w:val="21"/>
              </w:rPr>
            </w:pPr>
          </w:p>
        </w:tc>
        <w:tc>
          <w:tcPr>
            <w:tcW w:w="992" w:type="dxa"/>
            <w:vMerge w:val="continue"/>
            <w:tcBorders>
              <w:left w:val="single" w:color="auto" w:sz="4" w:space="0"/>
              <w:right w:val="single" w:color="auto" w:sz="4" w:space="0"/>
            </w:tcBorders>
            <w:shd w:val="clear" w:color="auto" w:fill="auto"/>
            <w:vAlign w:val="center"/>
          </w:tcPr>
          <w:p w14:paraId="0284ECF5">
            <w:pPr>
              <w:widowControl/>
              <w:autoSpaceDE w:val="0"/>
              <w:autoSpaceDN w:val="0"/>
              <w:spacing w:line="280" w:lineRule="exact"/>
              <w:jc w:val="left"/>
              <w:rPr>
                <w:rFonts w:ascii="Times New Roman" w:hAnsi="Times New Roman" w:eastAsia="仿宋_GB2312"/>
                <w:color w:val="auto"/>
                <w:szCs w:val="21"/>
              </w:rPr>
            </w:pPr>
          </w:p>
        </w:tc>
        <w:tc>
          <w:tcPr>
            <w:tcW w:w="1139" w:type="dxa"/>
            <w:vMerge w:val="continue"/>
            <w:tcBorders>
              <w:left w:val="single" w:color="auto" w:sz="4" w:space="0"/>
              <w:right w:val="single" w:color="auto" w:sz="4" w:space="0"/>
            </w:tcBorders>
            <w:shd w:val="clear" w:color="auto" w:fill="auto"/>
            <w:vAlign w:val="center"/>
          </w:tcPr>
          <w:p w14:paraId="129FED04">
            <w:pPr>
              <w:widowControl/>
              <w:autoSpaceDE w:val="0"/>
              <w:autoSpaceDN w:val="0"/>
              <w:spacing w:line="280" w:lineRule="exact"/>
              <w:jc w:val="center"/>
              <w:rPr>
                <w:rFonts w:ascii="Times New Roman" w:hAnsi="Times New Roman" w:eastAsia="仿宋_GB2312"/>
                <w:color w:val="auto"/>
                <w:szCs w:val="21"/>
              </w:rPr>
            </w:pPr>
          </w:p>
        </w:tc>
        <w:tc>
          <w:tcPr>
            <w:tcW w:w="1491" w:type="dxa"/>
            <w:tcBorders>
              <w:top w:val="single" w:color="auto" w:sz="4" w:space="0"/>
              <w:left w:val="single" w:color="auto" w:sz="4" w:space="0"/>
              <w:bottom w:val="single" w:color="auto" w:sz="4" w:space="0"/>
              <w:right w:val="single" w:color="auto" w:sz="4" w:space="0"/>
            </w:tcBorders>
            <w:shd w:val="clear" w:color="auto" w:fill="auto"/>
            <w:vAlign w:val="center"/>
          </w:tcPr>
          <w:p w14:paraId="082389C8">
            <w:pPr>
              <w:widowControl/>
              <w:autoSpaceDE w:val="0"/>
              <w:autoSpaceDN w:val="0"/>
              <w:spacing w:line="280" w:lineRule="exact"/>
              <w:jc w:val="center"/>
              <w:rPr>
                <w:rFonts w:ascii="Times New Roman" w:hAnsi="Times New Roman" w:eastAsia="仿宋_GB2312"/>
                <w:color w:val="auto"/>
                <w:szCs w:val="21"/>
              </w:rPr>
            </w:pPr>
            <w:r>
              <w:rPr>
                <w:rFonts w:hint="eastAsia" w:ascii="Times New Roman" w:hAnsi="Times New Roman" w:eastAsia="仿宋_GB2312"/>
                <w:color w:val="auto"/>
                <w:szCs w:val="21"/>
              </w:rPr>
              <w:t>320217645000</w:t>
            </w:r>
          </w:p>
        </w:tc>
        <w:tc>
          <w:tcPr>
            <w:tcW w:w="1481" w:type="dxa"/>
            <w:tcBorders>
              <w:top w:val="single" w:color="auto" w:sz="4" w:space="0"/>
              <w:left w:val="single" w:color="auto" w:sz="4" w:space="0"/>
              <w:bottom w:val="single" w:color="auto" w:sz="4" w:space="0"/>
              <w:right w:val="single" w:color="auto" w:sz="4" w:space="0"/>
            </w:tcBorders>
            <w:shd w:val="clear" w:color="auto" w:fill="auto"/>
            <w:vAlign w:val="center"/>
          </w:tcPr>
          <w:p w14:paraId="225AE111">
            <w:pPr>
              <w:widowControl/>
              <w:autoSpaceDE w:val="0"/>
              <w:autoSpaceDN w:val="0"/>
              <w:spacing w:line="280" w:lineRule="exact"/>
              <w:rPr>
                <w:rFonts w:ascii="Times New Roman" w:hAnsi="Times New Roman" w:eastAsia="仿宋_GB2312"/>
                <w:color w:val="auto"/>
                <w:szCs w:val="21"/>
              </w:rPr>
            </w:pPr>
            <w:r>
              <w:rPr>
                <w:rFonts w:hint="eastAsia" w:ascii="Times New Roman" w:hAnsi="Times New Roman" w:eastAsia="仿宋_GB2312"/>
                <w:color w:val="auto"/>
                <w:szCs w:val="21"/>
              </w:rPr>
              <w:t>对工程建设项目勘察设计招标人与中标人不按照招标文件和中标人的投标文件订立合同的处罚</w:t>
            </w:r>
          </w:p>
        </w:tc>
        <w:tc>
          <w:tcPr>
            <w:tcW w:w="622" w:type="dxa"/>
            <w:tcBorders>
              <w:left w:val="single" w:color="auto" w:sz="4" w:space="0"/>
              <w:right w:val="single" w:color="auto" w:sz="4" w:space="0"/>
            </w:tcBorders>
            <w:shd w:val="clear" w:color="auto" w:fill="auto"/>
            <w:vAlign w:val="center"/>
          </w:tcPr>
          <w:p w14:paraId="280E21A2">
            <w:pPr>
              <w:spacing w:line="280" w:lineRule="exact"/>
              <w:jc w:val="center"/>
              <w:rPr>
                <w:rFonts w:ascii="Times New Roman" w:hAnsi="Times New Roman" w:eastAsia="仿宋_GB2312"/>
                <w:color w:val="auto"/>
                <w:kern w:val="0"/>
                <w:szCs w:val="21"/>
              </w:rPr>
            </w:pPr>
          </w:p>
        </w:tc>
      </w:tr>
      <w:tr w14:paraId="177380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6" w:type="dxa"/>
            <w:vMerge w:val="continue"/>
            <w:tcBorders>
              <w:left w:val="single" w:color="auto" w:sz="4" w:space="0"/>
              <w:right w:val="single" w:color="auto" w:sz="4" w:space="0"/>
            </w:tcBorders>
            <w:shd w:val="clear" w:color="auto" w:fill="auto"/>
            <w:vAlign w:val="center"/>
          </w:tcPr>
          <w:p w14:paraId="344E8F35">
            <w:pPr>
              <w:widowControl/>
              <w:autoSpaceDE w:val="0"/>
              <w:autoSpaceDN w:val="0"/>
              <w:spacing w:line="280" w:lineRule="exact"/>
              <w:jc w:val="left"/>
              <w:rPr>
                <w:rFonts w:ascii="Times New Roman" w:hAnsi="Times New Roman" w:eastAsia="仿宋_GB2312"/>
                <w:color w:val="auto"/>
                <w:szCs w:val="21"/>
              </w:rPr>
            </w:pPr>
          </w:p>
        </w:tc>
        <w:tc>
          <w:tcPr>
            <w:tcW w:w="1324" w:type="dxa"/>
            <w:vMerge w:val="continue"/>
            <w:tcBorders>
              <w:left w:val="single" w:color="auto" w:sz="4" w:space="0"/>
              <w:right w:val="single" w:color="auto" w:sz="4" w:space="0"/>
            </w:tcBorders>
            <w:shd w:val="clear" w:color="auto" w:fill="auto"/>
            <w:vAlign w:val="center"/>
          </w:tcPr>
          <w:p w14:paraId="020BD577">
            <w:pPr>
              <w:widowControl/>
              <w:autoSpaceDE w:val="0"/>
              <w:autoSpaceDN w:val="0"/>
              <w:spacing w:line="280" w:lineRule="exact"/>
              <w:jc w:val="left"/>
              <w:rPr>
                <w:rFonts w:ascii="Times New Roman" w:hAnsi="Times New Roman" w:eastAsia="仿宋_GB2312"/>
                <w:color w:val="auto"/>
                <w:szCs w:val="21"/>
              </w:rPr>
            </w:pPr>
          </w:p>
        </w:tc>
        <w:tc>
          <w:tcPr>
            <w:tcW w:w="794" w:type="dxa"/>
            <w:vMerge w:val="continue"/>
            <w:tcBorders>
              <w:left w:val="single" w:color="auto" w:sz="4" w:space="0"/>
              <w:right w:val="single" w:color="auto" w:sz="4" w:space="0"/>
            </w:tcBorders>
            <w:shd w:val="clear" w:color="auto" w:fill="auto"/>
            <w:vAlign w:val="center"/>
          </w:tcPr>
          <w:p w14:paraId="219793AC">
            <w:pPr>
              <w:widowControl/>
              <w:autoSpaceDE w:val="0"/>
              <w:autoSpaceDN w:val="0"/>
              <w:spacing w:line="280" w:lineRule="exact"/>
              <w:jc w:val="left"/>
              <w:rPr>
                <w:rFonts w:ascii="Times New Roman" w:hAnsi="Times New Roman" w:eastAsia="仿宋_GB2312"/>
                <w:color w:val="auto"/>
                <w:szCs w:val="21"/>
              </w:rPr>
            </w:pPr>
          </w:p>
        </w:tc>
        <w:tc>
          <w:tcPr>
            <w:tcW w:w="872" w:type="dxa"/>
            <w:vMerge w:val="continue"/>
            <w:tcBorders>
              <w:left w:val="single" w:color="auto" w:sz="4" w:space="0"/>
              <w:right w:val="single" w:color="auto" w:sz="4" w:space="0"/>
            </w:tcBorders>
            <w:shd w:val="clear" w:color="auto" w:fill="auto"/>
            <w:vAlign w:val="center"/>
          </w:tcPr>
          <w:p w14:paraId="676DFF30">
            <w:pPr>
              <w:widowControl/>
              <w:autoSpaceDE w:val="0"/>
              <w:autoSpaceDN w:val="0"/>
              <w:spacing w:line="280" w:lineRule="exact"/>
              <w:jc w:val="left"/>
              <w:rPr>
                <w:rFonts w:ascii="Times New Roman" w:hAnsi="Times New Roman" w:eastAsia="仿宋_GB2312"/>
                <w:color w:val="auto"/>
                <w:szCs w:val="21"/>
              </w:rPr>
            </w:pPr>
          </w:p>
        </w:tc>
        <w:tc>
          <w:tcPr>
            <w:tcW w:w="869" w:type="dxa"/>
            <w:vMerge w:val="continue"/>
            <w:tcBorders>
              <w:left w:val="single" w:color="auto" w:sz="4" w:space="0"/>
              <w:right w:val="single" w:color="auto" w:sz="4" w:space="0"/>
            </w:tcBorders>
            <w:shd w:val="clear" w:color="auto" w:fill="auto"/>
            <w:vAlign w:val="center"/>
          </w:tcPr>
          <w:p w14:paraId="697A0DF1">
            <w:pPr>
              <w:widowControl/>
              <w:autoSpaceDE w:val="0"/>
              <w:autoSpaceDN w:val="0"/>
              <w:spacing w:line="280" w:lineRule="exact"/>
              <w:jc w:val="left"/>
              <w:rPr>
                <w:rFonts w:ascii="Times New Roman" w:hAnsi="Times New Roman" w:eastAsia="仿宋_GB2312"/>
                <w:color w:val="auto"/>
                <w:szCs w:val="21"/>
              </w:rPr>
            </w:pPr>
          </w:p>
        </w:tc>
        <w:tc>
          <w:tcPr>
            <w:tcW w:w="4962" w:type="dxa"/>
            <w:vMerge w:val="continue"/>
            <w:tcBorders>
              <w:left w:val="single" w:color="auto" w:sz="4" w:space="0"/>
              <w:right w:val="single" w:color="auto" w:sz="4" w:space="0"/>
            </w:tcBorders>
            <w:shd w:val="clear" w:color="auto" w:fill="auto"/>
            <w:vAlign w:val="center"/>
          </w:tcPr>
          <w:p w14:paraId="559FFAB7">
            <w:pPr>
              <w:widowControl/>
              <w:autoSpaceDE w:val="0"/>
              <w:autoSpaceDN w:val="0"/>
              <w:spacing w:line="280" w:lineRule="exact"/>
              <w:jc w:val="left"/>
              <w:rPr>
                <w:rFonts w:ascii="Times New Roman" w:hAnsi="Times New Roman" w:eastAsia="仿宋_GB2312"/>
                <w:color w:val="auto"/>
                <w:szCs w:val="21"/>
              </w:rPr>
            </w:pPr>
          </w:p>
        </w:tc>
        <w:tc>
          <w:tcPr>
            <w:tcW w:w="992" w:type="dxa"/>
            <w:vMerge w:val="continue"/>
            <w:tcBorders>
              <w:left w:val="single" w:color="auto" w:sz="4" w:space="0"/>
              <w:right w:val="single" w:color="auto" w:sz="4" w:space="0"/>
            </w:tcBorders>
            <w:shd w:val="clear" w:color="auto" w:fill="auto"/>
            <w:vAlign w:val="center"/>
          </w:tcPr>
          <w:p w14:paraId="2237EA87">
            <w:pPr>
              <w:widowControl/>
              <w:autoSpaceDE w:val="0"/>
              <w:autoSpaceDN w:val="0"/>
              <w:spacing w:line="280" w:lineRule="exact"/>
              <w:jc w:val="left"/>
              <w:rPr>
                <w:rFonts w:ascii="Times New Roman" w:hAnsi="Times New Roman" w:eastAsia="仿宋_GB2312"/>
                <w:color w:val="auto"/>
                <w:szCs w:val="21"/>
              </w:rPr>
            </w:pPr>
          </w:p>
        </w:tc>
        <w:tc>
          <w:tcPr>
            <w:tcW w:w="1139" w:type="dxa"/>
            <w:vMerge w:val="continue"/>
            <w:tcBorders>
              <w:left w:val="single" w:color="auto" w:sz="4" w:space="0"/>
              <w:right w:val="single" w:color="auto" w:sz="4" w:space="0"/>
            </w:tcBorders>
            <w:shd w:val="clear" w:color="auto" w:fill="auto"/>
            <w:vAlign w:val="center"/>
          </w:tcPr>
          <w:p w14:paraId="2ED2CE19">
            <w:pPr>
              <w:widowControl/>
              <w:autoSpaceDE w:val="0"/>
              <w:autoSpaceDN w:val="0"/>
              <w:spacing w:line="280" w:lineRule="exact"/>
              <w:jc w:val="center"/>
              <w:rPr>
                <w:rFonts w:ascii="Times New Roman" w:hAnsi="Times New Roman" w:eastAsia="仿宋_GB2312"/>
                <w:color w:val="auto"/>
                <w:szCs w:val="21"/>
              </w:rPr>
            </w:pPr>
          </w:p>
        </w:tc>
        <w:tc>
          <w:tcPr>
            <w:tcW w:w="1491" w:type="dxa"/>
            <w:tcBorders>
              <w:top w:val="single" w:color="auto" w:sz="4" w:space="0"/>
              <w:left w:val="single" w:color="auto" w:sz="4" w:space="0"/>
              <w:bottom w:val="single" w:color="auto" w:sz="4" w:space="0"/>
              <w:right w:val="single" w:color="auto" w:sz="4" w:space="0"/>
            </w:tcBorders>
            <w:shd w:val="clear" w:color="auto" w:fill="auto"/>
            <w:vAlign w:val="center"/>
          </w:tcPr>
          <w:p w14:paraId="52FB14A5">
            <w:pPr>
              <w:widowControl/>
              <w:autoSpaceDE w:val="0"/>
              <w:autoSpaceDN w:val="0"/>
              <w:spacing w:line="280" w:lineRule="exact"/>
              <w:jc w:val="center"/>
              <w:rPr>
                <w:rFonts w:ascii="Times New Roman" w:hAnsi="Times New Roman" w:eastAsia="仿宋_GB2312"/>
                <w:color w:val="auto"/>
                <w:szCs w:val="21"/>
              </w:rPr>
            </w:pPr>
            <w:r>
              <w:rPr>
                <w:rFonts w:hint="eastAsia" w:ascii="Times New Roman" w:hAnsi="Times New Roman" w:eastAsia="仿宋_GB2312"/>
                <w:color w:val="auto"/>
                <w:szCs w:val="21"/>
              </w:rPr>
              <w:t>320217640000</w:t>
            </w:r>
          </w:p>
        </w:tc>
        <w:tc>
          <w:tcPr>
            <w:tcW w:w="1481" w:type="dxa"/>
            <w:tcBorders>
              <w:top w:val="single" w:color="auto" w:sz="4" w:space="0"/>
              <w:left w:val="single" w:color="auto" w:sz="4" w:space="0"/>
              <w:bottom w:val="single" w:color="auto" w:sz="4" w:space="0"/>
              <w:right w:val="single" w:color="auto" w:sz="4" w:space="0"/>
            </w:tcBorders>
            <w:shd w:val="clear" w:color="auto" w:fill="auto"/>
            <w:vAlign w:val="center"/>
          </w:tcPr>
          <w:p w14:paraId="0B5139F3">
            <w:pPr>
              <w:widowControl/>
              <w:autoSpaceDE w:val="0"/>
              <w:autoSpaceDN w:val="0"/>
              <w:spacing w:line="280" w:lineRule="exact"/>
              <w:rPr>
                <w:rFonts w:ascii="Times New Roman" w:hAnsi="Times New Roman" w:eastAsia="仿宋_GB2312"/>
                <w:color w:val="auto"/>
                <w:szCs w:val="21"/>
              </w:rPr>
            </w:pPr>
            <w:r>
              <w:rPr>
                <w:rFonts w:hint="eastAsia" w:ascii="Times New Roman" w:hAnsi="Times New Roman" w:eastAsia="仿宋_GB2312"/>
                <w:color w:val="auto"/>
                <w:szCs w:val="21"/>
              </w:rPr>
              <w:t>对招标人接受应当拒收的投标文件的处罚</w:t>
            </w:r>
          </w:p>
        </w:tc>
        <w:tc>
          <w:tcPr>
            <w:tcW w:w="622" w:type="dxa"/>
            <w:tcBorders>
              <w:left w:val="single" w:color="auto" w:sz="4" w:space="0"/>
              <w:right w:val="single" w:color="auto" w:sz="4" w:space="0"/>
            </w:tcBorders>
            <w:shd w:val="clear" w:color="auto" w:fill="auto"/>
            <w:vAlign w:val="center"/>
          </w:tcPr>
          <w:p w14:paraId="5DD5144E">
            <w:pPr>
              <w:spacing w:line="280" w:lineRule="exact"/>
              <w:jc w:val="center"/>
              <w:rPr>
                <w:rFonts w:ascii="Times New Roman" w:hAnsi="Times New Roman" w:eastAsia="仿宋_GB2312"/>
                <w:color w:val="auto"/>
                <w:kern w:val="0"/>
                <w:szCs w:val="21"/>
              </w:rPr>
            </w:pPr>
          </w:p>
        </w:tc>
      </w:tr>
      <w:tr w14:paraId="35B6D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0" w:hRule="atLeast"/>
          <w:jc w:val="center"/>
        </w:trPr>
        <w:tc>
          <w:tcPr>
            <w:tcW w:w="536" w:type="dxa"/>
            <w:vMerge w:val="continue"/>
            <w:tcBorders>
              <w:left w:val="single" w:color="auto" w:sz="4" w:space="0"/>
              <w:bottom w:val="single" w:color="auto" w:sz="4" w:space="0"/>
              <w:right w:val="single" w:color="auto" w:sz="4" w:space="0"/>
            </w:tcBorders>
            <w:shd w:val="clear" w:color="auto" w:fill="auto"/>
            <w:vAlign w:val="center"/>
          </w:tcPr>
          <w:p w14:paraId="7173172D">
            <w:pPr>
              <w:widowControl/>
              <w:autoSpaceDE w:val="0"/>
              <w:autoSpaceDN w:val="0"/>
              <w:spacing w:line="280" w:lineRule="exact"/>
              <w:jc w:val="left"/>
              <w:rPr>
                <w:rFonts w:ascii="Times New Roman" w:hAnsi="Times New Roman" w:eastAsia="仿宋_GB2312"/>
                <w:color w:val="auto"/>
                <w:szCs w:val="21"/>
              </w:rPr>
            </w:pPr>
          </w:p>
        </w:tc>
        <w:tc>
          <w:tcPr>
            <w:tcW w:w="1324" w:type="dxa"/>
            <w:vMerge w:val="continue"/>
            <w:tcBorders>
              <w:left w:val="single" w:color="auto" w:sz="4" w:space="0"/>
              <w:bottom w:val="single" w:color="auto" w:sz="4" w:space="0"/>
              <w:right w:val="single" w:color="auto" w:sz="4" w:space="0"/>
            </w:tcBorders>
            <w:shd w:val="clear" w:color="auto" w:fill="auto"/>
            <w:vAlign w:val="center"/>
          </w:tcPr>
          <w:p w14:paraId="55EAD9B6">
            <w:pPr>
              <w:widowControl/>
              <w:autoSpaceDE w:val="0"/>
              <w:autoSpaceDN w:val="0"/>
              <w:spacing w:line="280" w:lineRule="exact"/>
              <w:jc w:val="left"/>
              <w:rPr>
                <w:rFonts w:ascii="Times New Roman" w:hAnsi="Times New Roman" w:eastAsia="仿宋_GB2312"/>
                <w:color w:val="auto"/>
                <w:szCs w:val="21"/>
              </w:rPr>
            </w:pPr>
          </w:p>
        </w:tc>
        <w:tc>
          <w:tcPr>
            <w:tcW w:w="794" w:type="dxa"/>
            <w:vMerge w:val="continue"/>
            <w:tcBorders>
              <w:left w:val="single" w:color="auto" w:sz="4" w:space="0"/>
              <w:bottom w:val="single" w:color="auto" w:sz="4" w:space="0"/>
              <w:right w:val="single" w:color="auto" w:sz="4" w:space="0"/>
            </w:tcBorders>
            <w:shd w:val="clear" w:color="auto" w:fill="auto"/>
            <w:vAlign w:val="center"/>
          </w:tcPr>
          <w:p w14:paraId="5D975B85">
            <w:pPr>
              <w:widowControl/>
              <w:autoSpaceDE w:val="0"/>
              <w:autoSpaceDN w:val="0"/>
              <w:spacing w:line="280" w:lineRule="exact"/>
              <w:jc w:val="left"/>
              <w:rPr>
                <w:rFonts w:ascii="Times New Roman" w:hAnsi="Times New Roman" w:eastAsia="仿宋_GB2312"/>
                <w:color w:val="auto"/>
                <w:szCs w:val="21"/>
              </w:rPr>
            </w:pPr>
          </w:p>
        </w:tc>
        <w:tc>
          <w:tcPr>
            <w:tcW w:w="872" w:type="dxa"/>
            <w:vMerge w:val="continue"/>
            <w:tcBorders>
              <w:left w:val="single" w:color="auto" w:sz="4" w:space="0"/>
              <w:bottom w:val="single" w:color="auto" w:sz="4" w:space="0"/>
              <w:right w:val="single" w:color="auto" w:sz="4" w:space="0"/>
            </w:tcBorders>
            <w:shd w:val="clear" w:color="auto" w:fill="auto"/>
            <w:vAlign w:val="center"/>
          </w:tcPr>
          <w:p w14:paraId="29BEB9A3">
            <w:pPr>
              <w:widowControl/>
              <w:autoSpaceDE w:val="0"/>
              <w:autoSpaceDN w:val="0"/>
              <w:spacing w:line="280" w:lineRule="exact"/>
              <w:jc w:val="left"/>
              <w:rPr>
                <w:rFonts w:ascii="Times New Roman" w:hAnsi="Times New Roman" w:eastAsia="仿宋_GB2312"/>
                <w:color w:val="auto"/>
                <w:szCs w:val="21"/>
              </w:rPr>
            </w:pPr>
          </w:p>
        </w:tc>
        <w:tc>
          <w:tcPr>
            <w:tcW w:w="869" w:type="dxa"/>
            <w:vMerge w:val="continue"/>
            <w:tcBorders>
              <w:left w:val="single" w:color="auto" w:sz="4" w:space="0"/>
              <w:bottom w:val="single" w:color="auto" w:sz="4" w:space="0"/>
              <w:right w:val="single" w:color="auto" w:sz="4" w:space="0"/>
            </w:tcBorders>
            <w:shd w:val="clear" w:color="auto" w:fill="auto"/>
            <w:vAlign w:val="center"/>
          </w:tcPr>
          <w:p w14:paraId="522EBA47">
            <w:pPr>
              <w:widowControl/>
              <w:autoSpaceDE w:val="0"/>
              <w:autoSpaceDN w:val="0"/>
              <w:spacing w:line="280" w:lineRule="exact"/>
              <w:jc w:val="left"/>
              <w:rPr>
                <w:rFonts w:ascii="Times New Roman" w:hAnsi="Times New Roman" w:eastAsia="仿宋_GB2312"/>
                <w:color w:val="auto"/>
                <w:szCs w:val="21"/>
              </w:rPr>
            </w:pPr>
          </w:p>
        </w:tc>
        <w:tc>
          <w:tcPr>
            <w:tcW w:w="4962" w:type="dxa"/>
            <w:vMerge w:val="continue"/>
            <w:tcBorders>
              <w:left w:val="single" w:color="auto" w:sz="4" w:space="0"/>
              <w:bottom w:val="single" w:color="auto" w:sz="4" w:space="0"/>
              <w:right w:val="single" w:color="auto" w:sz="4" w:space="0"/>
            </w:tcBorders>
            <w:shd w:val="clear" w:color="auto" w:fill="auto"/>
            <w:vAlign w:val="center"/>
          </w:tcPr>
          <w:p w14:paraId="0BF6F2FD">
            <w:pPr>
              <w:widowControl/>
              <w:autoSpaceDE w:val="0"/>
              <w:autoSpaceDN w:val="0"/>
              <w:spacing w:line="280" w:lineRule="exact"/>
              <w:jc w:val="left"/>
              <w:rPr>
                <w:rFonts w:ascii="Times New Roman" w:hAnsi="Times New Roman" w:eastAsia="仿宋_GB2312"/>
                <w:color w:val="auto"/>
                <w:szCs w:val="21"/>
              </w:rPr>
            </w:pPr>
          </w:p>
        </w:tc>
        <w:tc>
          <w:tcPr>
            <w:tcW w:w="992" w:type="dxa"/>
            <w:vMerge w:val="continue"/>
            <w:tcBorders>
              <w:left w:val="single" w:color="auto" w:sz="4" w:space="0"/>
              <w:bottom w:val="single" w:color="auto" w:sz="4" w:space="0"/>
              <w:right w:val="single" w:color="auto" w:sz="4" w:space="0"/>
            </w:tcBorders>
            <w:shd w:val="clear" w:color="auto" w:fill="auto"/>
            <w:vAlign w:val="center"/>
          </w:tcPr>
          <w:p w14:paraId="141A0C50">
            <w:pPr>
              <w:widowControl/>
              <w:autoSpaceDE w:val="0"/>
              <w:autoSpaceDN w:val="0"/>
              <w:spacing w:line="280" w:lineRule="exact"/>
              <w:jc w:val="left"/>
              <w:rPr>
                <w:rFonts w:ascii="Times New Roman" w:hAnsi="Times New Roman" w:eastAsia="仿宋_GB2312"/>
                <w:color w:val="auto"/>
                <w:szCs w:val="21"/>
              </w:rPr>
            </w:pPr>
          </w:p>
        </w:tc>
        <w:tc>
          <w:tcPr>
            <w:tcW w:w="1139" w:type="dxa"/>
            <w:vMerge w:val="continue"/>
            <w:tcBorders>
              <w:left w:val="single" w:color="auto" w:sz="4" w:space="0"/>
              <w:bottom w:val="single" w:color="auto" w:sz="4" w:space="0"/>
              <w:right w:val="single" w:color="auto" w:sz="4" w:space="0"/>
            </w:tcBorders>
            <w:shd w:val="clear" w:color="auto" w:fill="auto"/>
            <w:vAlign w:val="center"/>
          </w:tcPr>
          <w:p w14:paraId="3C28CE72">
            <w:pPr>
              <w:widowControl/>
              <w:autoSpaceDE w:val="0"/>
              <w:autoSpaceDN w:val="0"/>
              <w:spacing w:line="280" w:lineRule="exact"/>
              <w:jc w:val="center"/>
              <w:rPr>
                <w:rFonts w:ascii="Times New Roman" w:hAnsi="Times New Roman" w:eastAsia="仿宋_GB2312"/>
                <w:color w:val="auto"/>
                <w:szCs w:val="21"/>
              </w:rPr>
            </w:pPr>
          </w:p>
        </w:tc>
        <w:tc>
          <w:tcPr>
            <w:tcW w:w="1491" w:type="dxa"/>
            <w:tcBorders>
              <w:top w:val="single" w:color="auto" w:sz="4" w:space="0"/>
              <w:left w:val="single" w:color="auto" w:sz="4" w:space="0"/>
              <w:bottom w:val="single" w:color="auto" w:sz="4" w:space="0"/>
              <w:right w:val="single" w:color="auto" w:sz="4" w:space="0"/>
            </w:tcBorders>
            <w:shd w:val="clear" w:color="auto" w:fill="auto"/>
            <w:vAlign w:val="center"/>
          </w:tcPr>
          <w:p w14:paraId="51226809">
            <w:pPr>
              <w:widowControl/>
              <w:autoSpaceDE w:val="0"/>
              <w:autoSpaceDN w:val="0"/>
              <w:spacing w:line="280" w:lineRule="exact"/>
              <w:jc w:val="center"/>
              <w:rPr>
                <w:rFonts w:ascii="Times New Roman" w:hAnsi="Times New Roman" w:eastAsia="仿宋_GB2312"/>
                <w:color w:val="auto"/>
                <w:szCs w:val="21"/>
              </w:rPr>
            </w:pPr>
            <w:r>
              <w:rPr>
                <w:rFonts w:hint="eastAsia" w:ascii="Times New Roman" w:hAnsi="Times New Roman" w:eastAsia="仿宋_GB2312"/>
                <w:color w:val="auto"/>
                <w:szCs w:val="21"/>
              </w:rPr>
              <w:t>320217620000</w:t>
            </w:r>
          </w:p>
        </w:tc>
        <w:tc>
          <w:tcPr>
            <w:tcW w:w="1481" w:type="dxa"/>
            <w:tcBorders>
              <w:top w:val="single" w:color="auto" w:sz="4" w:space="0"/>
              <w:left w:val="single" w:color="auto" w:sz="4" w:space="0"/>
              <w:bottom w:val="single" w:color="auto" w:sz="4" w:space="0"/>
              <w:right w:val="single" w:color="auto" w:sz="4" w:space="0"/>
            </w:tcBorders>
            <w:shd w:val="clear" w:color="auto" w:fill="auto"/>
            <w:vAlign w:val="center"/>
          </w:tcPr>
          <w:p w14:paraId="3D3A44FE">
            <w:pPr>
              <w:widowControl/>
              <w:autoSpaceDE w:val="0"/>
              <w:autoSpaceDN w:val="0"/>
              <w:spacing w:line="280" w:lineRule="exact"/>
              <w:rPr>
                <w:rFonts w:ascii="Times New Roman" w:hAnsi="Times New Roman" w:eastAsia="仿宋_GB2312"/>
                <w:color w:val="auto"/>
                <w:szCs w:val="21"/>
              </w:rPr>
            </w:pPr>
            <w:r>
              <w:rPr>
                <w:rFonts w:hint="eastAsia" w:ascii="Times New Roman" w:hAnsi="Times New Roman" w:eastAsia="仿宋_GB2312"/>
                <w:color w:val="auto"/>
                <w:szCs w:val="21"/>
              </w:rPr>
              <w:t>对招标人无正当理由不发出中标通知书，不按规定期限确定中标人，或者中标通知书发出后改变中标结果，不与中标人签订合同，或者在签订合同时向中标人提出附加条件的处罚</w:t>
            </w:r>
          </w:p>
        </w:tc>
        <w:tc>
          <w:tcPr>
            <w:tcW w:w="622" w:type="dxa"/>
            <w:tcBorders>
              <w:left w:val="single" w:color="auto" w:sz="4" w:space="0"/>
              <w:bottom w:val="single" w:color="auto" w:sz="4" w:space="0"/>
              <w:right w:val="single" w:color="auto" w:sz="4" w:space="0"/>
            </w:tcBorders>
            <w:shd w:val="clear" w:color="auto" w:fill="auto"/>
            <w:vAlign w:val="center"/>
          </w:tcPr>
          <w:p w14:paraId="06A969BC">
            <w:pPr>
              <w:spacing w:line="280" w:lineRule="exact"/>
              <w:jc w:val="center"/>
              <w:rPr>
                <w:rFonts w:ascii="Times New Roman" w:hAnsi="Times New Roman" w:eastAsia="仿宋_GB2312"/>
                <w:color w:val="auto"/>
                <w:kern w:val="0"/>
                <w:szCs w:val="21"/>
              </w:rPr>
            </w:pPr>
          </w:p>
        </w:tc>
      </w:tr>
      <w:tr w14:paraId="114759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6" w:type="dxa"/>
            <w:vMerge w:val="restart"/>
            <w:tcBorders>
              <w:top w:val="single" w:color="auto" w:sz="4" w:space="0"/>
              <w:left w:val="single" w:color="auto" w:sz="4" w:space="0"/>
              <w:right w:val="single" w:color="auto" w:sz="4" w:space="0"/>
            </w:tcBorders>
            <w:shd w:val="clear" w:color="auto" w:fill="auto"/>
            <w:vAlign w:val="center"/>
          </w:tcPr>
          <w:p w14:paraId="51CA1117">
            <w:pPr>
              <w:widowControl/>
              <w:autoSpaceDE w:val="0"/>
              <w:autoSpaceDN w:val="0"/>
              <w:spacing w:line="280" w:lineRule="exact"/>
              <w:jc w:val="center"/>
              <w:rPr>
                <w:rFonts w:ascii="Times New Roman" w:hAnsi="Times New Roman" w:eastAsia="仿宋_GB2312"/>
                <w:color w:val="auto"/>
                <w:szCs w:val="21"/>
              </w:rPr>
            </w:pPr>
            <w:r>
              <w:rPr>
                <w:rFonts w:hint="eastAsia" w:ascii="Times New Roman" w:hAnsi="Times New Roman" w:eastAsia="仿宋_GB2312"/>
                <w:color w:val="auto"/>
                <w:szCs w:val="21"/>
              </w:rPr>
              <w:t>3</w:t>
            </w:r>
          </w:p>
        </w:tc>
        <w:tc>
          <w:tcPr>
            <w:tcW w:w="1324" w:type="dxa"/>
            <w:vMerge w:val="restart"/>
            <w:tcBorders>
              <w:top w:val="single" w:color="auto" w:sz="4" w:space="0"/>
              <w:left w:val="single" w:color="auto" w:sz="4" w:space="0"/>
              <w:right w:val="single" w:color="auto" w:sz="4" w:space="0"/>
            </w:tcBorders>
            <w:shd w:val="clear" w:color="auto" w:fill="auto"/>
            <w:vAlign w:val="center"/>
          </w:tcPr>
          <w:p w14:paraId="2E9E9FF0">
            <w:pPr>
              <w:widowControl/>
              <w:autoSpaceDE w:val="0"/>
              <w:autoSpaceDN w:val="0"/>
              <w:spacing w:line="280" w:lineRule="exact"/>
              <w:jc w:val="left"/>
              <w:rPr>
                <w:rFonts w:ascii="Times New Roman" w:hAnsi="Times New Roman" w:eastAsia="仿宋_GB2312"/>
                <w:color w:val="auto"/>
                <w:szCs w:val="21"/>
              </w:rPr>
            </w:pPr>
            <w:r>
              <w:rPr>
                <w:rFonts w:hint="eastAsia" w:ascii="Times New Roman" w:hAnsi="Times New Roman" w:eastAsia="仿宋_GB2312"/>
                <w:color w:val="auto"/>
                <w:szCs w:val="21"/>
              </w:rPr>
              <w:t>对建设工程项目勘察、设计、施工、监理及与工程建设有关的重要设备、材料采购的招标投标活动的行政监督和对招标代理机构的行政检查</w:t>
            </w:r>
          </w:p>
        </w:tc>
        <w:tc>
          <w:tcPr>
            <w:tcW w:w="794" w:type="dxa"/>
            <w:vMerge w:val="restart"/>
            <w:tcBorders>
              <w:top w:val="single" w:color="auto" w:sz="4" w:space="0"/>
              <w:left w:val="single" w:color="auto" w:sz="4" w:space="0"/>
              <w:right w:val="single" w:color="auto" w:sz="4" w:space="0"/>
            </w:tcBorders>
            <w:shd w:val="clear" w:color="auto" w:fill="auto"/>
            <w:vAlign w:val="center"/>
          </w:tcPr>
          <w:p w14:paraId="097FC27B">
            <w:pPr>
              <w:widowControl/>
              <w:autoSpaceDE w:val="0"/>
              <w:autoSpaceDN w:val="0"/>
              <w:spacing w:line="280" w:lineRule="exact"/>
              <w:jc w:val="center"/>
              <w:rPr>
                <w:rFonts w:ascii="Times New Roman" w:hAnsi="Times New Roman" w:eastAsia="仿宋_GB2312"/>
                <w:color w:val="auto"/>
                <w:szCs w:val="21"/>
              </w:rPr>
            </w:pPr>
            <w:r>
              <w:rPr>
                <w:rFonts w:hint="eastAsia" w:ascii="Times New Roman" w:hAnsi="Times New Roman" w:eastAsia="仿宋_GB2312"/>
                <w:color w:val="auto"/>
                <w:szCs w:val="21"/>
              </w:rPr>
              <w:t>苏州市相城区住房和城乡建设局</w:t>
            </w:r>
          </w:p>
        </w:tc>
        <w:tc>
          <w:tcPr>
            <w:tcW w:w="872" w:type="dxa"/>
            <w:vMerge w:val="restart"/>
            <w:tcBorders>
              <w:top w:val="single" w:color="auto" w:sz="4" w:space="0"/>
              <w:left w:val="single" w:color="auto" w:sz="4" w:space="0"/>
              <w:right w:val="single" w:color="auto" w:sz="4" w:space="0"/>
            </w:tcBorders>
            <w:shd w:val="clear" w:color="auto" w:fill="auto"/>
            <w:vAlign w:val="center"/>
          </w:tcPr>
          <w:p w14:paraId="005ED8C5">
            <w:pPr>
              <w:widowControl/>
              <w:autoSpaceDE w:val="0"/>
              <w:autoSpaceDN w:val="0"/>
              <w:spacing w:line="280" w:lineRule="exact"/>
              <w:jc w:val="left"/>
              <w:rPr>
                <w:rFonts w:ascii="Times New Roman" w:hAnsi="Times New Roman" w:eastAsia="仿宋_GB2312"/>
                <w:color w:val="auto"/>
                <w:szCs w:val="21"/>
              </w:rPr>
            </w:pPr>
            <w:r>
              <w:rPr>
                <w:rFonts w:hint="eastAsia" w:ascii="Times New Roman" w:hAnsi="Times New Roman" w:eastAsia="仿宋_GB2312"/>
                <w:color w:val="auto"/>
                <w:szCs w:val="21"/>
              </w:rPr>
              <w:t>相城区招投标管理服务中心</w:t>
            </w:r>
          </w:p>
        </w:tc>
        <w:tc>
          <w:tcPr>
            <w:tcW w:w="869" w:type="dxa"/>
            <w:vMerge w:val="restart"/>
            <w:tcBorders>
              <w:top w:val="single" w:color="auto" w:sz="4" w:space="0"/>
              <w:left w:val="single" w:color="auto" w:sz="4" w:space="0"/>
              <w:right w:val="single" w:color="auto" w:sz="4" w:space="0"/>
            </w:tcBorders>
            <w:shd w:val="clear" w:color="auto" w:fill="auto"/>
            <w:vAlign w:val="center"/>
          </w:tcPr>
          <w:p w14:paraId="0CD1649C">
            <w:pPr>
              <w:widowControl/>
              <w:autoSpaceDE w:val="0"/>
              <w:autoSpaceDN w:val="0"/>
              <w:spacing w:line="280" w:lineRule="exact"/>
              <w:jc w:val="left"/>
              <w:rPr>
                <w:rFonts w:ascii="Times New Roman" w:hAnsi="Times New Roman" w:eastAsia="仿宋_GB2312"/>
                <w:color w:val="auto"/>
                <w:szCs w:val="21"/>
              </w:rPr>
            </w:pPr>
            <w:r>
              <w:rPr>
                <w:rFonts w:hint="eastAsia" w:ascii="Times New Roman" w:hAnsi="Times New Roman" w:eastAsia="仿宋_GB2312"/>
                <w:color w:val="auto"/>
                <w:szCs w:val="21"/>
              </w:rPr>
              <w:t>招标人、招标代理机构、投标人、中标人、评标委员会</w:t>
            </w:r>
          </w:p>
        </w:tc>
        <w:tc>
          <w:tcPr>
            <w:tcW w:w="4962" w:type="dxa"/>
            <w:vMerge w:val="restart"/>
            <w:tcBorders>
              <w:top w:val="single" w:color="auto" w:sz="4" w:space="0"/>
              <w:left w:val="single" w:color="auto" w:sz="4" w:space="0"/>
              <w:right w:val="single" w:color="auto" w:sz="4" w:space="0"/>
            </w:tcBorders>
            <w:shd w:val="clear" w:color="auto" w:fill="auto"/>
            <w:vAlign w:val="center"/>
          </w:tcPr>
          <w:p w14:paraId="5462EFB2">
            <w:pPr>
              <w:widowControl/>
              <w:autoSpaceDE w:val="0"/>
              <w:autoSpaceDN w:val="0"/>
              <w:spacing w:line="280" w:lineRule="exact"/>
              <w:jc w:val="left"/>
              <w:rPr>
                <w:rFonts w:ascii="Times New Roman" w:hAnsi="Times New Roman" w:eastAsia="仿宋_GB2312"/>
                <w:color w:val="auto"/>
                <w:szCs w:val="21"/>
              </w:rPr>
            </w:pPr>
            <w:r>
              <w:rPr>
                <w:rFonts w:hint="eastAsia" w:ascii="Times New Roman" w:hAnsi="Times New Roman" w:eastAsia="仿宋_GB2312"/>
                <w:color w:val="auto"/>
                <w:szCs w:val="21"/>
              </w:rPr>
              <w:t>【</w:t>
            </w:r>
            <w:r>
              <w:rPr>
                <w:rFonts w:hint="eastAsia" w:ascii="Times New Roman" w:hAnsi="Times New Roman" w:eastAsia="仿宋_GB2312"/>
                <w:color w:val="auto"/>
                <w:szCs w:val="21"/>
                <w:lang w:val="en-US" w:eastAsia="zh-CN"/>
              </w:rPr>
              <w:t>法律</w:t>
            </w:r>
            <w:r>
              <w:rPr>
                <w:rFonts w:hint="eastAsia" w:ascii="Times New Roman" w:hAnsi="Times New Roman" w:eastAsia="仿宋_GB2312"/>
                <w:color w:val="auto"/>
                <w:szCs w:val="21"/>
              </w:rPr>
              <w:t>】《中华人民共和国招标投标法》</w:t>
            </w:r>
          </w:p>
          <w:p w14:paraId="0E939F1C">
            <w:pPr>
              <w:widowControl/>
              <w:autoSpaceDE w:val="0"/>
              <w:autoSpaceDN w:val="0"/>
              <w:spacing w:line="280" w:lineRule="exact"/>
              <w:jc w:val="left"/>
              <w:rPr>
                <w:rFonts w:ascii="Times New Roman" w:hAnsi="Times New Roman" w:eastAsia="仿宋_GB2312"/>
                <w:color w:val="auto"/>
                <w:szCs w:val="21"/>
              </w:rPr>
            </w:pPr>
            <w:r>
              <w:rPr>
                <w:rFonts w:hint="eastAsia" w:ascii="Times New Roman" w:hAnsi="Times New Roman" w:eastAsia="仿宋_GB2312"/>
                <w:color w:val="auto"/>
                <w:szCs w:val="21"/>
              </w:rPr>
              <w:t xml:space="preserve">    第七条  招标投标活动及其当事人应当接受依法实施的监督。有关行政监督部门依法对招标投标活动实施监督，依法查处招标投标活动中的违法行为。对招标投标活动的行政监督及有关部门的具体职权划分，由国务院规定。</w:t>
            </w:r>
          </w:p>
          <w:p w14:paraId="155DFBC3">
            <w:pPr>
              <w:widowControl/>
              <w:autoSpaceDE w:val="0"/>
              <w:autoSpaceDN w:val="0"/>
              <w:spacing w:line="280" w:lineRule="exact"/>
              <w:jc w:val="left"/>
              <w:rPr>
                <w:rFonts w:ascii="Times New Roman" w:hAnsi="Times New Roman" w:eastAsia="仿宋_GB2312"/>
                <w:color w:val="auto"/>
                <w:szCs w:val="21"/>
              </w:rPr>
            </w:pPr>
            <w:r>
              <w:rPr>
                <w:rFonts w:hint="eastAsia" w:ascii="Times New Roman" w:hAnsi="Times New Roman" w:eastAsia="仿宋_GB2312"/>
                <w:color w:val="auto"/>
                <w:szCs w:val="21"/>
              </w:rPr>
              <w:t>【法规】《中华人民共和国招标投标法实施条例》</w:t>
            </w:r>
          </w:p>
          <w:p w14:paraId="647C9E33">
            <w:pPr>
              <w:widowControl/>
              <w:autoSpaceDE w:val="0"/>
              <w:autoSpaceDN w:val="0"/>
              <w:spacing w:line="280" w:lineRule="exact"/>
              <w:jc w:val="left"/>
              <w:rPr>
                <w:rFonts w:ascii="Times New Roman" w:hAnsi="Times New Roman" w:eastAsia="仿宋_GB2312"/>
                <w:color w:val="auto"/>
                <w:szCs w:val="21"/>
              </w:rPr>
            </w:pPr>
            <w:r>
              <w:rPr>
                <w:rFonts w:hint="eastAsia" w:ascii="Times New Roman" w:hAnsi="Times New Roman" w:eastAsia="仿宋_GB2312"/>
                <w:color w:val="auto"/>
                <w:szCs w:val="21"/>
              </w:rPr>
              <w:t xml:space="preserve">    第四条  国务院发展改革部门指导和协调全国招标投标工作，对国家重大建设项目的工程招标投标活动实施监督检查。国务院工业和信息化、住房城乡建设、交通运输、铁道、水利、商务等部门，按照规定的职责分工对有关招标投标活动实施监督。县级以上地方人民政府发展改革部门指导和协调本行政区域的招标投标工作。县级以上地方人民政府有关部门按照规定的职责分工，对招标投标活动实施监督，依法查处招标投标活动中的违法行为。县级以上地方人民政府对其所属部门有关招标投标活动的监督职责分工另有规定的，从其规定。</w:t>
            </w:r>
          </w:p>
          <w:p w14:paraId="1F5EE5D0">
            <w:pPr>
              <w:widowControl/>
              <w:autoSpaceDE w:val="0"/>
              <w:autoSpaceDN w:val="0"/>
              <w:spacing w:line="280" w:lineRule="exact"/>
              <w:ind w:firstLine="420" w:firstLineChars="200"/>
              <w:jc w:val="left"/>
              <w:rPr>
                <w:rFonts w:ascii="Times New Roman" w:hAnsi="Times New Roman" w:eastAsia="仿宋_GB2312"/>
                <w:color w:val="auto"/>
                <w:szCs w:val="21"/>
              </w:rPr>
            </w:pPr>
            <w:r>
              <w:rPr>
                <w:rFonts w:hint="eastAsia" w:ascii="Times New Roman" w:hAnsi="Times New Roman" w:eastAsia="仿宋_GB2312"/>
                <w:color w:val="auto"/>
                <w:szCs w:val="21"/>
              </w:rPr>
              <w:t>第十一条  国务院住房城乡建设、商务、发展改革、工业和信息化等部门，按照规定的职责分工对招标代理机构依法实施监督管理。</w:t>
            </w:r>
          </w:p>
          <w:p w14:paraId="7C7F34BC">
            <w:pPr>
              <w:widowControl/>
              <w:autoSpaceDE w:val="0"/>
              <w:autoSpaceDN w:val="0"/>
              <w:spacing w:line="280" w:lineRule="exact"/>
              <w:jc w:val="left"/>
              <w:rPr>
                <w:rFonts w:ascii="Times New Roman" w:hAnsi="Times New Roman" w:eastAsia="仿宋_GB2312"/>
                <w:color w:val="auto"/>
                <w:szCs w:val="21"/>
              </w:rPr>
            </w:pPr>
            <w:r>
              <w:rPr>
                <w:rFonts w:hint="eastAsia" w:ascii="Times New Roman" w:hAnsi="Times New Roman" w:eastAsia="仿宋_GB2312"/>
                <w:color w:val="auto"/>
                <w:szCs w:val="21"/>
              </w:rPr>
              <w:t xml:space="preserve">【文件】《住房城乡建设部办公厅关于取消工程建设项目招标代理机构资格认定加强事中事后监管的通知》 </w:t>
            </w:r>
          </w:p>
          <w:p w14:paraId="78D85104">
            <w:pPr>
              <w:widowControl/>
              <w:autoSpaceDE w:val="0"/>
              <w:autoSpaceDN w:val="0"/>
              <w:spacing w:line="280" w:lineRule="exact"/>
              <w:jc w:val="left"/>
              <w:rPr>
                <w:rFonts w:ascii="Times New Roman" w:hAnsi="Times New Roman" w:eastAsia="仿宋_GB2312"/>
                <w:color w:val="auto"/>
                <w:szCs w:val="21"/>
              </w:rPr>
            </w:pPr>
            <w:r>
              <w:rPr>
                <w:rFonts w:hint="eastAsia" w:ascii="Times New Roman" w:hAnsi="Times New Roman" w:eastAsia="仿宋_GB2312"/>
                <w:color w:val="auto"/>
                <w:szCs w:val="21"/>
              </w:rPr>
              <w:t xml:space="preserve">    各级住房城乡建设主管部门要高度重视招标代理机构资格认定取消后的事中事后监管工作，完善工作机制，创新监管手段，加强工程建设项目招标投标活动监管，依法严肃查处违法违规行为，促进招投标活动有序开展。</w:t>
            </w:r>
          </w:p>
        </w:tc>
        <w:tc>
          <w:tcPr>
            <w:tcW w:w="992" w:type="dxa"/>
            <w:vMerge w:val="restart"/>
            <w:tcBorders>
              <w:top w:val="single" w:color="auto" w:sz="4" w:space="0"/>
              <w:left w:val="single" w:color="auto" w:sz="4" w:space="0"/>
              <w:right w:val="single" w:color="auto" w:sz="4" w:space="0"/>
            </w:tcBorders>
            <w:shd w:val="clear" w:color="auto" w:fill="auto"/>
            <w:vAlign w:val="center"/>
          </w:tcPr>
          <w:p w14:paraId="328BDC10">
            <w:pPr>
              <w:widowControl/>
              <w:autoSpaceDE w:val="0"/>
              <w:autoSpaceDN w:val="0"/>
              <w:spacing w:line="280" w:lineRule="exact"/>
              <w:jc w:val="center"/>
              <w:rPr>
                <w:rFonts w:ascii="Times New Roman" w:hAnsi="Times New Roman" w:eastAsia="仿宋_GB2312"/>
                <w:color w:val="auto"/>
                <w:szCs w:val="21"/>
              </w:rPr>
            </w:pPr>
            <w:r>
              <w:rPr>
                <w:rFonts w:hint="eastAsia" w:ascii="Times New Roman" w:hAnsi="Times New Roman" w:eastAsia="仿宋_GB2312"/>
                <w:color w:val="auto"/>
                <w:szCs w:val="21"/>
              </w:rPr>
              <w:t>现场</w:t>
            </w:r>
          </w:p>
          <w:p w14:paraId="52C0555B">
            <w:pPr>
              <w:widowControl/>
              <w:autoSpaceDE w:val="0"/>
              <w:autoSpaceDN w:val="0"/>
              <w:spacing w:line="280" w:lineRule="exact"/>
              <w:jc w:val="center"/>
              <w:rPr>
                <w:rFonts w:ascii="Times New Roman" w:hAnsi="Times New Roman" w:eastAsia="仿宋_GB2312"/>
                <w:color w:val="auto"/>
                <w:szCs w:val="21"/>
              </w:rPr>
            </w:pPr>
            <w:r>
              <w:rPr>
                <w:rFonts w:hint="eastAsia" w:ascii="Times New Roman" w:hAnsi="Times New Roman" w:eastAsia="仿宋_GB2312"/>
                <w:color w:val="auto"/>
                <w:szCs w:val="21"/>
              </w:rPr>
              <w:t>检查</w:t>
            </w:r>
          </w:p>
        </w:tc>
        <w:tc>
          <w:tcPr>
            <w:tcW w:w="1139" w:type="dxa"/>
            <w:vMerge w:val="restart"/>
            <w:tcBorders>
              <w:top w:val="single" w:color="auto" w:sz="4" w:space="0"/>
              <w:left w:val="single" w:color="auto" w:sz="4" w:space="0"/>
              <w:right w:val="single" w:color="auto" w:sz="4" w:space="0"/>
            </w:tcBorders>
            <w:shd w:val="clear" w:color="auto" w:fill="auto"/>
            <w:vAlign w:val="center"/>
          </w:tcPr>
          <w:p w14:paraId="59FC21B5">
            <w:pPr>
              <w:widowControl/>
              <w:autoSpaceDE w:val="0"/>
              <w:autoSpaceDN w:val="0"/>
              <w:spacing w:line="280" w:lineRule="exact"/>
              <w:jc w:val="center"/>
              <w:rPr>
                <w:rFonts w:ascii="Times New Roman" w:hAnsi="Times New Roman" w:eastAsia="仿宋_GB2312"/>
                <w:color w:val="auto"/>
                <w:szCs w:val="21"/>
              </w:rPr>
            </w:pPr>
            <w:r>
              <w:rPr>
                <w:rFonts w:hint="eastAsia" w:ascii="Times New Roman" w:hAnsi="Times New Roman" w:eastAsia="仿宋_GB2312"/>
                <w:color w:val="auto"/>
                <w:szCs w:val="21"/>
              </w:rPr>
              <w:t>双随机检查，不少于总标段数的5%且不少于10个标段；</w:t>
            </w:r>
          </w:p>
          <w:p w14:paraId="07FE029B">
            <w:pPr>
              <w:widowControl/>
              <w:autoSpaceDE w:val="0"/>
              <w:autoSpaceDN w:val="0"/>
              <w:spacing w:line="280" w:lineRule="exact"/>
              <w:jc w:val="center"/>
              <w:rPr>
                <w:rFonts w:ascii="Times New Roman" w:hAnsi="Times New Roman" w:eastAsia="仿宋_GB2312"/>
                <w:color w:val="auto"/>
                <w:szCs w:val="21"/>
              </w:rPr>
            </w:pPr>
            <w:r>
              <w:rPr>
                <w:rFonts w:hint="eastAsia" w:ascii="Times New Roman" w:hAnsi="Times New Roman" w:eastAsia="仿宋_GB2312"/>
                <w:color w:val="auto"/>
                <w:szCs w:val="21"/>
              </w:rPr>
              <w:t>对招标代理机构的行政检查与招投标检查合并进行</w:t>
            </w:r>
          </w:p>
        </w:tc>
        <w:tc>
          <w:tcPr>
            <w:tcW w:w="1491" w:type="dxa"/>
            <w:tcBorders>
              <w:top w:val="single" w:color="auto" w:sz="4" w:space="0"/>
              <w:left w:val="single" w:color="auto" w:sz="4" w:space="0"/>
              <w:bottom w:val="single" w:color="auto" w:sz="4" w:space="0"/>
              <w:right w:val="single" w:color="auto" w:sz="4" w:space="0"/>
            </w:tcBorders>
            <w:shd w:val="clear" w:color="auto" w:fill="auto"/>
            <w:vAlign w:val="center"/>
          </w:tcPr>
          <w:p w14:paraId="743A3E1B">
            <w:pPr>
              <w:widowControl/>
              <w:autoSpaceDE w:val="0"/>
              <w:autoSpaceDN w:val="0"/>
              <w:spacing w:line="280" w:lineRule="exact"/>
              <w:jc w:val="center"/>
              <w:rPr>
                <w:rFonts w:ascii="Times New Roman" w:hAnsi="Times New Roman" w:eastAsia="仿宋_GB2312"/>
                <w:color w:val="auto"/>
                <w:szCs w:val="21"/>
              </w:rPr>
            </w:pPr>
            <w:r>
              <w:rPr>
                <w:rFonts w:hint="eastAsia" w:ascii="Times New Roman" w:hAnsi="Times New Roman" w:eastAsia="仿宋_GB2312"/>
                <w:color w:val="auto"/>
                <w:szCs w:val="21"/>
              </w:rPr>
              <w:t>320217610000</w:t>
            </w:r>
          </w:p>
        </w:tc>
        <w:tc>
          <w:tcPr>
            <w:tcW w:w="1481" w:type="dxa"/>
            <w:tcBorders>
              <w:top w:val="single" w:color="auto" w:sz="4" w:space="0"/>
              <w:left w:val="single" w:color="auto" w:sz="4" w:space="0"/>
              <w:bottom w:val="single" w:color="auto" w:sz="4" w:space="0"/>
              <w:right w:val="single" w:color="auto" w:sz="4" w:space="0"/>
            </w:tcBorders>
            <w:shd w:val="clear" w:color="auto" w:fill="auto"/>
            <w:vAlign w:val="center"/>
          </w:tcPr>
          <w:p w14:paraId="65F908BE">
            <w:pPr>
              <w:widowControl/>
              <w:autoSpaceDE w:val="0"/>
              <w:autoSpaceDN w:val="0"/>
              <w:spacing w:line="280" w:lineRule="exact"/>
              <w:rPr>
                <w:rFonts w:ascii="Times New Roman" w:hAnsi="Times New Roman" w:eastAsia="仿宋_GB2312"/>
                <w:color w:val="auto"/>
                <w:szCs w:val="21"/>
              </w:rPr>
            </w:pPr>
            <w:r>
              <w:rPr>
                <w:rFonts w:hint="eastAsia" w:ascii="Times New Roman" w:hAnsi="Times New Roman" w:eastAsia="仿宋_GB2312"/>
                <w:color w:val="auto"/>
                <w:szCs w:val="21"/>
              </w:rPr>
              <w:t>对招标人接受未通过资格预审的单位或者个人参加投标的处罚</w:t>
            </w:r>
          </w:p>
        </w:tc>
        <w:tc>
          <w:tcPr>
            <w:tcW w:w="622" w:type="dxa"/>
            <w:tcBorders>
              <w:top w:val="single" w:color="auto" w:sz="4" w:space="0"/>
              <w:left w:val="single" w:color="auto" w:sz="4" w:space="0"/>
              <w:right w:val="single" w:color="auto" w:sz="4" w:space="0"/>
            </w:tcBorders>
            <w:shd w:val="clear" w:color="auto" w:fill="auto"/>
            <w:vAlign w:val="center"/>
          </w:tcPr>
          <w:p w14:paraId="74896B0C">
            <w:pPr>
              <w:spacing w:line="280" w:lineRule="exact"/>
              <w:jc w:val="center"/>
              <w:rPr>
                <w:rFonts w:ascii="Times New Roman" w:hAnsi="Times New Roman" w:eastAsia="仿宋_GB2312"/>
                <w:color w:val="auto"/>
                <w:kern w:val="0"/>
                <w:szCs w:val="21"/>
              </w:rPr>
            </w:pPr>
          </w:p>
        </w:tc>
      </w:tr>
      <w:tr w14:paraId="02EA6D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6" w:type="dxa"/>
            <w:vMerge w:val="continue"/>
            <w:tcBorders>
              <w:left w:val="single" w:color="auto" w:sz="4" w:space="0"/>
              <w:right w:val="single" w:color="auto" w:sz="4" w:space="0"/>
            </w:tcBorders>
            <w:shd w:val="clear" w:color="auto" w:fill="auto"/>
            <w:vAlign w:val="center"/>
          </w:tcPr>
          <w:p w14:paraId="742A8985">
            <w:pPr>
              <w:widowControl/>
              <w:autoSpaceDE w:val="0"/>
              <w:autoSpaceDN w:val="0"/>
              <w:spacing w:line="280" w:lineRule="exact"/>
              <w:jc w:val="left"/>
              <w:rPr>
                <w:rFonts w:ascii="Times New Roman" w:hAnsi="Times New Roman" w:eastAsia="仿宋_GB2312"/>
                <w:color w:val="auto"/>
                <w:szCs w:val="21"/>
              </w:rPr>
            </w:pPr>
          </w:p>
        </w:tc>
        <w:tc>
          <w:tcPr>
            <w:tcW w:w="1324" w:type="dxa"/>
            <w:vMerge w:val="continue"/>
            <w:tcBorders>
              <w:left w:val="single" w:color="auto" w:sz="4" w:space="0"/>
              <w:right w:val="single" w:color="auto" w:sz="4" w:space="0"/>
            </w:tcBorders>
            <w:shd w:val="clear" w:color="auto" w:fill="auto"/>
            <w:vAlign w:val="center"/>
          </w:tcPr>
          <w:p w14:paraId="06555D08">
            <w:pPr>
              <w:widowControl/>
              <w:autoSpaceDE w:val="0"/>
              <w:autoSpaceDN w:val="0"/>
              <w:spacing w:line="280" w:lineRule="exact"/>
              <w:jc w:val="left"/>
              <w:rPr>
                <w:rFonts w:ascii="Times New Roman" w:hAnsi="Times New Roman" w:eastAsia="仿宋_GB2312"/>
                <w:color w:val="auto"/>
                <w:szCs w:val="21"/>
              </w:rPr>
            </w:pPr>
          </w:p>
        </w:tc>
        <w:tc>
          <w:tcPr>
            <w:tcW w:w="794" w:type="dxa"/>
            <w:vMerge w:val="continue"/>
            <w:tcBorders>
              <w:left w:val="single" w:color="auto" w:sz="4" w:space="0"/>
              <w:right w:val="single" w:color="auto" w:sz="4" w:space="0"/>
            </w:tcBorders>
            <w:shd w:val="clear" w:color="auto" w:fill="auto"/>
            <w:vAlign w:val="center"/>
          </w:tcPr>
          <w:p w14:paraId="2EF28D4E">
            <w:pPr>
              <w:widowControl/>
              <w:autoSpaceDE w:val="0"/>
              <w:autoSpaceDN w:val="0"/>
              <w:spacing w:line="280" w:lineRule="exact"/>
              <w:jc w:val="left"/>
              <w:rPr>
                <w:rFonts w:ascii="Times New Roman" w:hAnsi="Times New Roman" w:eastAsia="仿宋_GB2312"/>
                <w:color w:val="auto"/>
                <w:szCs w:val="21"/>
              </w:rPr>
            </w:pPr>
          </w:p>
        </w:tc>
        <w:tc>
          <w:tcPr>
            <w:tcW w:w="872" w:type="dxa"/>
            <w:vMerge w:val="continue"/>
            <w:tcBorders>
              <w:left w:val="single" w:color="auto" w:sz="4" w:space="0"/>
              <w:right w:val="single" w:color="auto" w:sz="4" w:space="0"/>
            </w:tcBorders>
            <w:shd w:val="clear" w:color="auto" w:fill="auto"/>
            <w:vAlign w:val="center"/>
          </w:tcPr>
          <w:p w14:paraId="64E2A530">
            <w:pPr>
              <w:widowControl/>
              <w:autoSpaceDE w:val="0"/>
              <w:autoSpaceDN w:val="0"/>
              <w:spacing w:line="280" w:lineRule="exact"/>
              <w:jc w:val="left"/>
              <w:rPr>
                <w:rFonts w:ascii="Times New Roman" w:hAnsi="Times New Roman" w:eastAsia="仿宋_GB2312"/>
                <w:color w:val="auto"/>
                <w:szCs w:val="21"/>
              </w:rPr>
            </w:pPr>
          </w:p>
        </w:tc>
        <w:tc>
          <w:tcPr>
            <w:tcW w:w="869" w:type="dxa"/>
            <w:vMerge w:val="continue"/>
            <w:tcBorders>
              <w:left w:val="single" w:color="auto" w:sz="4" w:space="0"/>
              <w:right w:val="single" w:color="auto" w:sz="4" w:space="0"/>
            </w:tcBorders>
            <w:shd w:val="clear" w:color="auto" w:fill="auto"/>
            <w:vAlign w:val="center"/>
          </w:tcPr>
          <w:p w14:paraId="3E86AE34">
            <w:pPr>
              <w:widowControl/>
              <w:autoSpaceDE w:val="0"/>
              <w:autoSpaceDN w:val="0"/>
              <w:spacing w:line="280" w:lineRule="exact"/>
              <w:jc w:val="left"/>
              <w:rPr>
                <w:rFonts w:ascii="Times New Roman" w:hAnsi="Times New Roman" w:eastAsia="仿宋_GB2312"/>
                <w:color w:val="auto"/>
                <w:szCs w:val="21"/>
              </w:rPr>
            </w:pPr>
          </w:p>
        </w:tc>
        <w:tc>
          <w:tcPr>
            <w:tcW w:w="4962" w:type="dxa"/>
            <w:vMerge w:val="continue"/>
            <w:tcBorders>
              <w:left w:val="single" w:color="auto" w:sz="4" w:space="0"/>
              <w:right w:val="single" w:color="auto" w:sz="4" w:space="0"/>
            </w:tcBorders>
            <w:shd w:val="clear" w:color="auto" w:fill="auto"/>
            <w:vAlign w:val="center"/>
          </w:tcPr>
          <w:p w14:paraId="1C60D1EC">
            <w:pPr>
              <w:widowControl/>
              <w:autoSpaceDE w:val="0"/>
              <w:autoSpaceDN w:val="0"/>
              <w:spacing w:line="280" w:lineRule="exact"/>
              <w:jc w:val="left"/>
              <w:rPr>
                <w:rFonts w:ascii="Times New Roman" w:hAnsi="Times New Roman" w:eastAsia="仿宋_GB2312"/>
                <w:color w:val="auto"/>
                <w:szCs w:val="21"/>
              </w:rPr>
            </w:pPr>
          </w:p>
        </w:tc>
        <w:tc>
          <w:tcPr>
            <w:tcW w:w="992" w:type="dxa"/>
            <w:vMerge w:val="continue"/>
            <w:tcBorders>
              <w:left w:val="single" w:color="auto" w:sz="4" w:space="0"/>
              <w:right w:val="single" w:color="auto" w:sz="4" w:space="0"/>
            </w:tcBorders>
            <w:shd w:val="clear" w:color="auto" w:fill="auto"/>
            <w:vAlign w:val="center"/>
          </w:tcPr>
          <w:p w14:paraId="7D298338">
            <w:pPr>
              <w:widowControl/>
              <w:autoSpaceDE w:val="0"/>
              <w:autoSpaceDN w:val="0"/>
              <w:spacing w:line="280" w:lineRule="exact"/>
              <w:jc w:val="left"/>
              <w:rPr>
                <w:rFonts w:ascii="Times New Roman" w:hAnsi="Times New Roman" w:eastAsia="仿宋_GB2312"/>
                <w:color w:val="auto"/>
                <w:szCs w:val="21"/>
              </w:rPr>
            </w:pPr>
          </w:p>
        </w:tc>
        <w:tc>
          <w:tcPr>
            <w:tcW w:w="1139" w:type="dxa"/>
            <w:vMerge w:val="continue"/>
            <w:tcBorders>
              <w:left w:val="single" w:color="auto" w:sz="4" w:space="0"/>
              <w:right w:val="single" w:color="auto" w:sz="4" w:space="0"/>
            </w:tcBorders>
            <w:shd w:val="clear" w:color="auto" w:fill="auto"/>
            <w:vAlign w:val="center"/>
          </w:tcPr>
          <w:p w14:paraId="0A3DB7F4">
            <w:pPr>
              <w:widowControl/>
              <w:autoSpaceDE w:val="0"/>
              <w:autoSpaceDN w:val="0"/>
              <w:spacing w:line="280" w:lineRule="exact"/>
              <w:jc w:val="center"/>
              <w:rPr>
                <w:rFonts w:ascii="Times New Roman" w:hAnsi="Times New Roman" w:eastAsia="仿宋_GB2312"/>
                <w:color w:val="auto"/>
                <w:szCs w:val="21"/>
              </w:rPr>
            </w:pPr>
          </w:p>
        </w:tc>
        <w:tc>
          <w:tcPr>
            <w:tcW w:w="1491" w:type="dxa"/>
            <w:tcBorders>
              <w:top w:val="single" w:color="auto" w:sz="4" w:space="0"/>
              <w:left w:val="single" w:color="auto" w:sz="4" w:space="0"/>
              <w:bottom w:val="single" w:color="auto" w:sz="4" w:space="0"/>
              <w:right w:val="single" w:color="auto" w:sz="4" w:space="0"/>
            </w:tcBorders>
            <w:shd w:val="clear" w:color="auto" w:fill="auto"/>
            <w:vAlign w:val="center"/>
          </w:tcPr>
          <w:p w14:paraId="737C9B5B">
            <w:pPr>
              <w:widowControl/>
              <w:autoSpaceDE w:val="0"/>
              <w:autoSpaceDN w:val="0"/>
              <w:spacing w:line="280" w:lineRule="exact"/>
              <w:jc w:val="center"/>
              <w:rPr>
                <w:rFonts w:ascii="Times New Roman" w:hAnsi="Times New Roman" w:eastAsia="仿宋_GB2312"/>
                <w:color w:val="auto"/>
                <w:szCs w:val="21"/>
              </w:rPr>
            </w:pPr>
            <w:r>
              <w:rPr>
                <w:rFonts w:hint="eastAsia" w:ascii="Times New Roman" w:hAnsi="Times New Roman" w:eastAsia="仿宋_GB2312"/>
                <w:color w:val="auto"/>
                <w:szCs w:val="21"/>
              </w:rPr>
              <w:t>320217606000</w:t>
            </w:r>
          </w:p>
        </w:tc>
        <w:tc>
          <w:tcPr>
            <w:tcW w:w="1481" w:type="dxa"/>
            <w:tcBorders>
              <w:top w:val="single" w:color="auto" w:sz="4" w:space="0"/>
              <w:left w:val="single" w:color="auto" w:sz="4" w:space="0"/>
              <w:bottom w:val="single" w:color="auto" w:sz="4" w:space="0"/>
              <w:right w:val="single" w:color="auto" w:sz="4" w:space="0"/>
            </w:tcBorders>
            <w:shd w:val="clear" w:color="auto" w:fill="auto"/>
            <w:vAlign w:val="center"/>
          </w:tcPr>
          <w:p w14:paraId="0AE2513E">
            <w:pPr>
              <w:widowControl/>
              <w:autoSpaceDE w:val="0"/>
              <w:autoSpaceDN w:val="0"/>
              <w:spacing w:line="280" w:lineRule="exact"/>
              <w:rPr>
                <w:rFonts w:ascii="Times New Roman" w:hAnsi="Times New Roman" w:eastAsia="仿宋_GB2312"/>
                <w:color w:val="auto"/>
                <w:szCs w:val="21"/>
              </w:rPr>
            </w:pPr>
            <w:r>
              <w:rPr>
                <w:rFonts w:hint="eastAsia" w:ascii="Times New Roman" w:hAnsi="Times New Roman" w:eastAsia="仿宋_GB2312"/>
                <w:color w:val="auto"/>
                <w:szCs w:val="21"/>
              </w:rPr>
              <w:t>对依法应当公开招标的项目不按照规定在指定媒介发布资格预审公告或者招标公告的处罚</w:t>
            </w:r>
          </w:p>
        </w:tc>
        <w:tc>
          <w:tcPr>
            <w:tcW w:w="622" w:type="dxa"/>
            <w:tcBorders>
              <w:left w:val="single" w:color="auto" w:sz="4" w:space="0"/>
              <w:right w:val="single" w:color="auto" w:sz="4" w:space="0"/>
            </w:tcBorders>
            <w:shd w:val="clear" w:color="auto" w:fill="auto"/>
            <w:vAlign w:val="center"/>
          </w:tcPr>
          <w:p w14:paraId="64FEE922">
            <w:pPr>
              <w:spacing w:line="280" w:lineRule="exact"/>
              <w:rPr>
                <w:rFonts w:ascii="Times New Roman" w:hAnsi="Times New Roman" w:eastAsia="仿宋_GB2312"/>
                <w:color w:val="auto"/>
                <w:kern w:val="0"/>
                <w:szCs w:val="21"/>
              </w:rPr>
            </w:pPr>
          </w:p>
        </w:tc>
      </w:tr>
      <w:tr w14:paraId="440F91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6" w:type="dxa"/>
            <w:vMerge w:val="continue"/>
            <w:tcBorders>
              <w:left w:val="single" w:color="auto" w:sz="4" w:space="0"/>
              <w:right w:val="single" w:color="auto" w:sz="4" w:space="0"/>
            </w:tcBorders>
            <w:shd w:val="clear" w:color="auto" w:fill="auto"/>
            <w:vAlign w:val="center"/>
          </w:tcPr>
          <w:p w14:paraId="5AF82FEB">
            <w:pPr>
              <w:widowControl/>
              <w:autoSpaceDE w:val="0"/>
              <w:autoSpaceDN w:val="0"/>
              <w:spacing w:line="280" w:lineRule="exact"/>
              <w:jc w:val="left"/>
              <w:rPr>
                <w:rFonts w:ascii="Times New Roman" w:hAnsi="Times New Roman" w:eastAsia="仿宋_GB2312"/>
                <w:color w:val="auto"/>
                <w:szCs w:val="21"/>
              </w:rPr>
            </w:pPr>
          </w:p>
        </w:tc>
        <w:tc>
          <w:tcPr>
            <w:tcW w:w="1324" w:type="dxa"/>
            <w:vMerge w:val="continue"/>
            <w:tcBorders>
              <w:left w:val="single" w:color="auto" w:sz="4" w:space="0"/>
              <w:right w:val="single" w:color="auto" w:sz="4" w:space="0"/>
            </w:tcBorders>
            <w:shd w:val="clear" w:color="auto" w:fill="auto"/>
            <w:vAlign w:val="center"/>
          </w:tcPr>
          <w:p w14:paraId="1A2BE559">
            <w:pPr>
              <w:widowControl/>
              <w:autoSpaceDE w:val="0"/>
              <w:autoSpaceDN w:val="0"/>
              <w:spacing w:line="280" w:lineRule="exact"/>
              <w:jc w:val="left"/>
              <w:rPr>
                <w:rFonts w:ascii="Times New Roman" w:hAnsi="Times New Roman" w:eastAsia="仿宋_GB2312"/>
                <w:color w:val="auto"/>
                <w:szCs w:val="21"/>
              </w:rPr>
            </w:pPr>
          </w:p>
        </w:tc>
        <w:tc>
          <w:tcPr>
            <w:tcW w:w="794" w:type="dxa"/>
            <w:vMerge w:val="continue"/>
            <w:tcBorders>
              <w:left w:val="single" w:color="auto" w:sz="4" w:space="0"/>
              <w:right w:val="single" w:color="auto" w:sz="4" w:space="0"/>
            </w:tcBorders>
            <w:shd w:val="clear" w:color="auto" w:fill="auto"/>
            <w:vAlign w:val="center"/>
          </w:tcPr>
          <w:p w14:paraId="248E5B03">
            <w:pPr>
              <w:widowControl/>
              <w:autoSpaceDE w:val="0"/>
              <w:autoSpaceDN w:val="0"/>
              <w:spacing w:line="280" w:lineRule="exact"/>
              <w:jc w:val="left"/>
              <w:rPr>
                <w:rFonts w:ascii="Times New Roman" w:hAnsi="Times New Roman" w:eastAsia="仿宋_GB2312"/>
                <w:color w:val="auto"/>
                <w:szCs w:val="21"/>
              </w:rPr>
            </w:pPr>
          </w:p>
        </w:tc>
        <w:tc>
          <w:tcPr>
            <w:tcW w:w="872" w:type="dxa"/>
            <w:vMerge w:val="continue"/>
            <w:tcBorders>
              <w:left w:val="single" w:color="auto" w:sz="4" w:space="0"/>
              <w:right w:val="single" w:color="auto" w:sz="4" w:space="0"/>
            </w:tcBorders>
            <w:shd w:val="clear" w:color="auto" w:fill="auto"/>
            <w:vAlign w:val="center"/>
          </w:tcPr>
          <w:p w14:paraId="4EA45803">
            <w:pPr>
              <w:widowControl/>
              <w:autoSpaceDE w:val="0"/>
              <w:autoSpaceDN w:val="0"/>
              <w:spacing w:line="280" w:lineRule="exact"/>
              <w:jc w:val="left"/>
              <w:rPr>
                <w:rFonts w:ascii="Times New Roman" w:hAnsi="Times New Roman" w:eastAsia="仿宋_GB2312"/>
                <w:color w:val="auto"/>
                <w:szCs w:val="21"/>
              </w:rPr>
            </w:pPr>
          </w:p>
        </w:tc>
        <w:tc>
          <w:tcPr>
            <w:tcW w:w="869" w:type="dxa"/>
            <w:vMerge w:val="continue"/>
            <w:tcBorders>
              <w:left w:val="single" w:color="auto" w:sz="4" w:space="0"/>
              <w:right w:val="single" w:color="auto" w:sz="4" w:space="0"/>
            </w:tcBorders>
            <w:shd w:val="clear" w:color="auto" w:fill="auto"/>
            <w:vAlign w:val="center"/>
          </w:tcPr>
          <w:p w14:paraId="1A6E512A">
            <w:pPr>
              <w:widowControl/>
              <w:autoSpaceDE w:val="0"/>
              <w:autoSpaceDN w:val="0"/>
              <w:spacing w:line="280" w:lineRule="exact"/>
              <w:jc w:val="left"/>
              <w:rPr>
                <w:rFonts w:ascii="Times New Roman" w:hAnsi="Times New Roman" w:eastAsia="仿宋_GB2312"/>
                <w:color w:val="auto"/>
                <w:szCs w:val="21"/>
              </w:rPr>
            </w:pPr>
          </w:p>
        </w:tc>
        <w:tc>
          <w:tcPr>
            <w:tcW w:w="4962" w:type="dxa"/>
            <w:vMerge w:val="continue"/>
            <w:tcBorders>
              <w:left w:val="single" w:color="auto" w:sz="4" w:space="0"/>
              <w:right w:val="single" w:color="auto" w:sz="4" w:space="0"/>
            </w:tcBorders>
            <w:shd w:val="clear" w:color="auto" w:fill="auto"/>
            <w:vAlign w:val="center"/>
          </w:tcPr>
          <w:p w14:paraId="3FEF4308">
            <w:pPr>
              <w:widowControl/>
              <w:autoSpaceDE w:val="0"/>
              <w:autoSpaceDN w:val="0"/>
              <w:spacing w:line="280" w:lineRule="exact"/>
              <w:jc w:val="left"/>
              <w:rPr>
                <w:rFonts w:ascii="Times New Roman" w:hAnsi="Times New Roman" w:eastAsia="仿宋_GB2312"/>
                <w:color w:val="auto"/>
                <w:szCs w:val="21"/>
              </w:rPr>
            </w:pPr>
          </w:p>
        </w:tc>
        <w:tc>
          <w:tcPr>
            <w:tcW w:w="992" w:type="dxa"/>
            <w:vMerge w:val="continue"/>
            <w:tcBorders>
              <w:left w:val="single" w:color="auto" w:sz="4" w:space="0"/>
              <w:right w:val="single" w:color="auto" w:sz="4" w:space="0"/>
            </w:tcBorders>
            <w:shd w:val="clear" w:color="auto" w:fill="auto"/>
            <w:vAlign w:val="center"/>
          </w:tcPr>
          <w:p w14:paraId="4297E5DA">
            <w:pPr>
              <w:widowControl/>
              <w:autoSpaceDE w:val="0"/>
              <w:autoSpaceDN w:val="0"/>
              <w:spacing w:line="280" w:lineRule="exact"/>
              <w:jc w:val="left"/>
              <w:rPr>
                <w:rFonts w:ascii="Times New Roman" w:hAnsi="Times New Roman" w:eastAsia="仿宋_GB2312"/>
                <w:color w:val="auto"/>
                <w:szCs w:val="21"/>
              </w:rPr>
            </w:pPr>
          </w:p>
        </w:tc>
        <w:tc>
          <w:tcPr>
            <w:tcW w:w="1139" w:type="dxa"/>
            <w:vMerge w:val="continue"/>
            <w:tcBorders>
              <w:left w:val="single" w:color="auto" w:sz="4" w:space="0"/>
              <w:right w:val="single" w:color="auto" w:sz="4" w:space="0"/>
            </w:tcBorders>
            <w:shd w:val="clear" w:color="auto" w:fill="auto"/>
            <w:vAlign w:val="center"/>
          </w:tcPr>
          <w:p w14:paraId="26654743">
            <w:pPr>
              <w:widowControl/>
              <w:autoSpaceDE w:val="0"/>
              <w:autoSpaceDN w:val="0"/>
              <w:spacing w:line="280" w:lineRule="exact"/>
              <w:jc w:val="center"/>
              <w:rPr>
                <w:rFonts w:ascii="Times New Roman" w:hAnsi="Times New Roman" w:eastAsia="仿宋_GB2312"/>
                <w:color w:val="auto"/>
                <w:szCs w:val="21"/>
              </w:rPr>
            </w:pPr>
          </w:p>
        </w:tc>
        <w:tc>
          <w:tcPr>
            <w:tcW w:w="1491" w:type="dxa"/>
            <w:tcBorders>
              <w:top w:val="single" w:color="auto" w:sz="4" w:space="0"/>
              <w:left w:val="single" w:color="auto" w:sz="4" w:space="0"/>
              <w:bottom w:val="single" w:color="auto" w:sz="4" w:space="0"/>
              <w:right w:val="single" w:color="auto" w:sz="4" w:space="0"/>
            </w:tcBorders>
            <w:shd w:val="clear" w:color="auto" w:fill="auto"/>
            <w:vAlign w:val="center"/>
          </w:tcPr>
          <w:p w14:paraId="0E61DE9A">
            <w:pPr>
              <w:widowControl/>
              <w:autoSpaceDE w:val="0"/>
              <w:autoSpaceDN w:val="0"/>
              <w:spacing w:line="280" w:lineRule="exact"/>
              <w:jc w:val="center"/>
              <w:rPr>
                <w:rFonts w:ascii="Times New Roman" w:hAnsi="Times New Roman" w:eastAsia="仿宋_GB2312"/>
                <w:color w:val="auto"/>
                <w:szCs w:val="21"/>
              </w:rPr>
            </w:pPr>
            <w:r>
              <w:rPr>
                <w:rFonts w:hint="eastAsia" w:ascii="Times New Roman" w:hAnsi="Times New Roman" w:eastAsia="仿宋_GB2312"/>
                <w:color w:val="auto"/>
                <w:szCs w:val="21"/>
              </w:rPr>
              <w:t>320217599000</w:t>
            </w:r>
          </w:p>
        </w:tc>
        <w:tc>
          <w:tcPr>
            <w:tcW w:w="1481" w:type="dxa"/>
            <w:tcBorders>
              <w:top w:val="single" w:color="auto" w:sz="4" w:space="0"/>
              <w:left w:val="single" w:color="auto" w:sz="4" w:space="0"/>
              <w:bottom w:val="single" w:color="auto" w:sz="4" w:space="0"/>
              <w:right w:val="single" w:color="auto" w:sz="4" w:space="0"/>
            </w:tcBorders>
            <w:shd w:val="clear" w:color="auto" w:fill="auto"/>
            <w:vAlign w:val="center"/>
          </w:tcPr>
          <w:p w14:paraId="3A453303">
            <w:pPr>
              <w:widowControl/>
              <w:autoSpaceDE w:val="0"/>
              <w:autoSpaceDN w:val="0"/>
              <w:spacing w:line="280" w:lineRule="exact"/>
              <w:rPr>
                <w:rFonts w:ascii="Times New Roman" w:hAnsi="Times New Roman" w:eastAsia="仿宋_GB2312"/>
                <w:color w:val="auto"/>
                <w:szCs w:val="21"/>
              </w:rPr>
            </w:pPr>
            <w:r>
              <w:rPr>
                <w:rFonts w:hint="eastAsia" w:ascii="Times New Roman" w:hAnsi="Times New Roman" w:eastAsia="仿宋_GB2312"/>
                <w:color w:val="auto"/>
                <w:szCs w:val="21"/>
              </w:rPr>
              <w:t>对招标文件、资格预审文件的发售、澄清、修改的时限，或者确定的提交资格预审申请文件、投标文件的时限不符合规定的处罚</w:t>
            </w:r>
          </w:p>
        </w:tc>
        <w:tc>
          <w:tcPr>
            <w:tcW w:w="622" w:type="dxa"/>
            <w:tcBorders>
              <w:left w:val="single" w:color="auto" w:sz="4" w:space="0"/>
              <w:right w:val="single" w:color="auto" w:sz="4" w:space="0"/>
            </w:tcBorders>
            <w:shd w:val="clear" w:color="auto" w:fill="auto"/>
            <w:vAlign w:val="center"/>
          </w:tcPr>
          <w:p w14:paraId="03861F26">
            <w:pPr>
              <w:spacing w:line="280" w:lineRule="exact"/>
              <w:rPr>
                <w:rFonts w:ascii="Times New Roman" w:hAnsi="Times New Roman" w:eastAsia="仿宋_GB2312"/>
                <w:color w:val="auto"/>
                <w:kern w:val="0"/>
                <w:szCs w:val="21"/>
              </w:rPr>
            </w:pPr>
          </w:p>
        </w:tc>
      </w:tr>
      <w:tr w14:paraId="66B136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13" w:hRule="atLeast"/>
          <w:jc w:val="center"/>
        </w:trPr>
        <w:tc>
          <w:tcPr>
            <w:tcW w:w="536" w:type="dxa"/>
            <w:vMerge w:val="continue"/>
            <w:tcBorders>
              <w:left w:val="single" w:color="auto" w:sz="4" w:space="0"/>
              <w:bottom w:val="single" w:color="auto" w:sz="4" w:space="0"/>
              <w:right w:val="single" w:color="auto" w:sz="4" w:space="0"/>
            </w:tcBorders>
            <w:shd w:val="clear" w:color="auto" w:fill="auto"/>
            <w:vAlign w:val="center"/>
          </w:tcPr>
          <w:p w14:paraId="0304C385">
            <w:pPr>
              <w:widowControl/>
              <w:autoSpaceDE w:val="0"/>
              <w:autoSpaceDN w:val="0"/>
              <w:spacing w:line="280" w:lineRule="exact"/>
              <w:jc w:val="left"/>
              <w:rPr>
                <w:rFonts w:ascii="Times New Roman" w:hAnsi="Times New Roman" w:eastAsia="仿宋_GB2312"/>
                <w:color w:val="auto"/>
                <w:szCs w:val="21"/>
              </w:rPr>
            </w:pPr>
          </w:p>
        </w:tc>
        <w:tc>
          <w:tcPr>
            <w:tcW w:w="1324" w:type="dxa"/>
            <w:vMerge w:val="continue"/>
            <w:tcBorders>
              <w:left w:val="single" w:color="auto" w:sz="4" w:space="0"/>
              <w:bottom w:val="single" w:color="auto" w:sz="4" w:space="0"/>
              <w:right w:val="single" w:color="auto" w:sz="4" w:space="0"/>
            </w:tcBorders>
            <w:shd w:val="clear" w:color="auto" w:fill="auto"/>
            <w:vAlign w:val="center"/>
          </w:tcPr>
          <w:p w14:paraId="5B3BD4E7">
            <w:pPr>
              <w:widowControl/>
              <w:autoSpaceDE w:val="0"/>
              <w:autoSpaceDN w:val="0"/>
              <w:spacing w:line="280" w:lineRule="exact"/>
              <w:jc w:val="left"/>
              <w:rPr>
                <w:rFonts w:ascii="Times New Roman" w:hAnsi="Times New Roman" w:eastAsia="仿宋_GB2312"/>
                <w:color w:val="auto"/>
                <w:szCs w:val="21"/>
              </w:rPr>
            </w:pPr>
          </w:p>
        </w:tc>
        <w:tc>
          <w:tcPr>
            <w:tcW w:w="794" w:type="dxa"/>
            <w:vMerge w:val="continue"/>
            <w:tcBorders>
              <w:left w:val="single" w:color="auto" w:sz="4" w:space="0"/>
              <w:bottom w:val="single" w:color="auto" w:sz="4" w:space="0"/>
              <w:right w:val="single" w:color="auto" w:sz="4" w:space="0"/>
            </w:tcBorders>
            <w:shd w:val="clear" w:color="auto" w:fill="auto"/>
            <w:vAlign w:val="center"/>
          </w:tcPr>
          <w:p w14:paraId="65B36D44">
            <w:pPr>
              <w:widowControl/>
              <w:autoSpaceDE w:val="0"/>
              <w:autoSpaceDN w:val="0"/>
              <w:spacing w:line="280" w:lineRule="exact"/>
              <w:jc w:val="left"/>
              <w:rPr>
                <w:rFonts w:ascii="Times New Roman" w:hAnsi="Times New Roman" w:eastAsia="仿宋_GB2312"/>
                <w:color w:val="auto"/>
                <w:szCs w:val="21"/>
              </w:rPr>
            </w:pPr>
          </w:p>
        </w:tc>
        <w:tc>
          <w:tcPr>
            <w:tcW w:w="872" w:type="dxa"/>
            <w:vMerge w:val="continue"/>
            <w:tcBorders>
              <w:left w:val="single" w:color="auto" w:sz="4" w:space="0"/>
              <w:bottom w:val="single" w:color="auto" w:sz="4" w:space="0"/>
              <w:right w:val="single" w:color="auto" w:sz="4" w:space="0"/>
            </w:tcBorders>
            <w:shd w:val="clear" w:color="auto" w:fill="auto"/>
            <w:vAlign w:val="center"/>
          </w:tcPr>
          <w:p w14:paraId="6DBD9D6B">
            <w:pPr>
              <w:widowControl/>
              <w:autoSpaceDE w:val="0"/>
              <w:autoSpaceDN w:val="0"/>
              <w:spacing w:line="280" w:lineRule="exact"/>
              <w:jc w:val="left"/>
              <w:rPr>
                <w:rFonts w:ascii="Times New Roman" w:hAnsi="Times New Roman" w:eastAsia="仿宋_GB2312"/>
                <w:color w:val="auto"/>
                <w:szCs w:val="21"/>
              </w:rPr>
            </w:pPr>
          </w:p>
        </w:tc>
        <w:tc>
          <w:tcPr>
            <w:tcW w:w="869" w:type="dxa"/>
            <w:vMerge w:val="continue"/>
            <w:tcBorders>
              <w:left w:val="single" w:color="auto" w:sz="4" w:space="0"/>
              <w:bottom w:val="single" w:color="auto" w:sz="4" w:space="0"/>
              <w:right w:val="single" w:color="auto" w:sz="4" w:space="0"/>
            </w:tcBorders>
            <w:shd w:val="clear" w:color="auto" w:fill="auto"/>
            <w:vAlign w:val="center"/>
          </w:tcPr>
          <w:p w14:paraId="30F139BE">
            <w:pPr>
              <w:widowControl/>
              <w:autoSpaceDE w:val="0"/>
              <w:autoSpaceDN w:val="0"/>
              <w:spacing w:line="280" w:lineRule="exact"/>
              <w:jc w:val="left"/>
              <w:rPr>
                <w:rFonts w:ascii="Times New Roman" w:hAnsi="Times New Roman" w:eastAsia="仿宋_GB2312"/>
                <w:color w:val="auto"/>
                <w:szCs w:val="21"/>
              </w:rPr>
            </w:pPr>
          </w:p>
        </w:tc>
        <w:tc>
          <w:tcPr>
            <w:tcW w:w="4962" w:type="dxa"/>
            <w:vMerge w:val="continue"/>
            <w:tcBorders>
              <w:left w:val="single" w:color="auto" w:sz="4" w:space="0"/>
              <w:bottom w:val="single" w:color="auto" w:sz="4" w:space="0"/>
              <w:right w:val="single" w:color="auto" w:sz="4" w:space="0"/>
            </w:tcBorders>
            <w:shd w:val="clear" w:color="auto" w:fill="auto"/>
            <w:vAlign w:val="center"/>
          </w:tcPr>
          <w:p w14:paraId="02E1F3DF">
            <w:pPr>
              <w:widowControl/>
              <w:autoSpaceDE w:val="0"/>
              <w:autoSpaceDN w:val="0"/>
              <w:spacing w:line="280" w:lineRule="exact"/>
              <w:jc w:val="left"/>
              <w:rPr>
                <w:rFonts w:ascii="Times New Roman" w:hAnsi="Times New Roman" w:eastAsia="仿宋_GB2312"/>
                <w:color w:val="auto"/>
                <w:szCs w:val="21"/>
              </w:rPr>
            </w:pPr>
          </w:p>
        </w:tc>
        <w:tc>
          <w:tcPr>
            <w:tcW w:w="992" w:type="dxa"/>
            <w:vMerge w:val="continue"/>
            <w:tcBorders>
              <w:left w:val="single" w:color="auto" w:sz="4" w:space="0"/>
              <w:bottom w:val="single" w:color="auto" w:sz="4" w:space="0"/>
              <w:right w:val="single" w:color="auto" w:sz="4" w:space="0"/>
            </w:tcBorders>
            <w:shd w:val="clear" w:color="auto" w:fill="auto"/>
            <w:vAlign w:val="center"/>
          </w:tcPr>
          <w:p w14:paraId="5F0036AB">
            <w:pPr>
              <w:widowControl/>
              <w:autoSpaceDE w:val="0"/>
              <w:autoSpaceDN w:val="0"/>
              <w:spacing w:line="280" w:lineRule="exact"/>
              <w:jc w:val="left"/>
              <w:rPr>
                <w:rFonts w:ascii="Times New Roman" w:hAnsi="Times New Roman" w:eastAsia="仿宋_GB2312"/>
                <w:color w:val="auto"/>
                <w:szCs w:val="21"/>
              </w:rPr>
            </w:pPr>
          </w:p>
        </w:tc>
        <w:tc>
          <w:tcPr>
            <w:tcW w:w="1139" w:type="dxa"/>
            <w:vMerge w:val="continue"/>
            <w:tcBorders>
              <w:left w:val="single" w:color="auto" w:sz="4" w:space="0"/>
              <w:bottom w:val="single" w:color="auto" w:sz="4" w:space="0"/>
              <w:right w:val="single" w:color="auto" w:sz="4" w:space="0"/>
            </w:tcBorders>
            <w:shd w:val="clear" w:color="auto" w:fill="auto"/>
            <w:vAlign w:val="center"/>
          </w:tcPr>
          <w:p w14:paraId="2823C511">
            <w:pPr>
              <w:widowControl/>
              <w:autoSpaceDE w:val="0"/>
              <w:autoSpaceDN w:val="0"/>
              <w:spacing w:line="280" w:lineRule="exact"/>
              <w:jc w:val="center"/>
              <w:rPr>
                <w:rFonts w:ascii="Times New Roman" w:hAnsi="Times New Roman" w:eastAsia="仿宋_GB2312"/>
                <w:color w:val="auto"/>
                <w:szCs w:val="21"/>
              </w:rPr>
            </w:pPr>
          </w:p>
        </w:tc>
        <w:tc>
          <w:tcPr>
            <w:tcW w:w="1491" w:type="dxa"/>
            <w:tcBorders>
              <w:top w:val="single" w:color="auto" w:sz="4" w:space="0"/>
              <w:left w:val="single" w:color="auto" w:sz="4" w:space="0"/>
              <w:bottom w:val="single" w:color="auto" w:sz="4" w:space="0"/>
              <w:right w:val="single" w:color="auto" w:sz="4" w:space="0"/>
            </w:tcBorders>
            <w:shd w:val="clear" w:color="auto" w:fill="auto"/>
            <w:vAlign w:val="center"/>
          </w:tcPr>
          <w:p w14:paraId="2382368B">
            <w:pPr>
              <w:widowControl/>
              <w:autoSpaceDE w:val="0"/>
              <w:autoSpaceDN w:val="0"/>
              <w:spacing w:line="280" w:lineRule="exact"/>
              <w:jc w:val="center"/>
              <w:rPr>
                <w:rFonts w:ascii="Times New Roman" w:hAnsi="Times New Roman" w:eastAsia="仿宋_GB2312"/>
                <w:color w:val="auto"/>
                <w:szCs w:val="21"/>
              </w:rPr>
            </w:pPr>
            <w:r>
              <w:rPr>
                <w:rFonts w:hint="eastAsia" w:ascii="Times New Roman" w:hAnsi="Times New Roman" w:eastAsia="仿宋_GB2312"/>
                <w:color w:val="auto"/>
                <w:szCs w:val="21"/>
              </w:rPr>
              <w:t>320217579000</w:t>
            </w:r>
          </w:p>
        </w:tc>
        <w:tc>
          <w:tcPr>
            <w:tcW w:w="1481" w:type="dxa"/>
            <w:tcBorders>
              <w:top w:val="single" w:color="auto" w:sz="4" w:space="0"/>
              <w:left w:val="single" w:color="auto" w:sz="4" w:space="0"/>
              <w:bottom w:val="single" w:color="auto" w:sz="4" w:space="0"/>
              <w:right w:val="single" w:color="auto" w:sz="4" w:space="0"/>
            </w:tcBorders>
            <w:shd w:val="clear" w:color="auto" w:fill="auto"/>
            <w:vAlign w:val="center"/>
          </w:tcPr>
          <w:p w14:paraId="25754621">
            <w:pPr>
              <w:widowControl/>
              <w:autoSpaceDE w:val="0"/>
              <w:autoSpaceDN w:val="0"/>
              <w:spacing w:line="280" w:lineRule="exact"/>
              <w:rPr>
                <w:rFonts w:ascii="Times New Roman" w:hAnsi="Times New Roman" w:eastAsia="仿宋_GB2312"/>
                <w:color w:val="auto"/>
                <w:szCs w:val="21"/>
              </w:rPr>
            </w:pPr>
            <w:r>
              <w:rPr>
                <w:rFonts w:hint="eastAsia" w:ascii="Times New Roman" w:hAnsi="Times New Roman" w:eastAsia="仿宋_GB2312"/>
                <w:color w:val="auto"/>
                <w:szCs w:val="21"/>
              </w:rPr>
              <w:t>对评标委员会成员收受投标人的财物或者其他好处的，评标委员会成员或者参加评标的有关工作</w:t>
            </w:r>
          </w:p>
        </w:tc>
        <w:tc>
          <w:tcPr>
            <w:tcW w:w="622" w:type="dxa"/>
            <w:tcBorders>
              <w:left w:val="single" w:color="auto" w:sz="4" w:space="0"/>
              <w:right w:val="single" w:color="auto" w:sz="4" w:space="0"/>
            </w:tcBorders>
            <w:shd w:val="clear" w:color="auto" w:fill="auto"/>
            <w:vAlign w:val="center"/>
          </w:tcPr>
          <w:p w14:paraId="1A1DFB1F">
            <w:pPr>
              <w:spacing w:line="280" w:lineRule="exact"/>
              <w:rPr>
                <w:rFonts w:ascii="Times New Roman" w:hAnsi="Times New Roman" w:eastAsia="仿宋_GB2312"/>
                <w:color w:val="auto"/>
                <w:kern w:val="0"/>
                <w:szCs w:val="21"/>
              </w:rPr>
            </w:pPr>
          </w:p>
        </w:tc>
      </w:tr>
      <w:tr w14:paraId="530B3E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13" w:hRule="atLeast"/>
          <w:jc w:val="center"/>
        </w:trPr>
        <w:tc>
          <w:tcPr>
            <w:tcW w:w="536" w:type="dxa"/>
            <w:vMerge w:val="restart"/>
            <w:tcBorders>
              <w:top w:val="single" w:color="auto" w:sz="4" w:space="0"/>
              <w:left w:val="single" w:color="auto" w:sz="4" w:space="0"/>
              <w:right w:val="single" w:color="auto" w:sz="4" w:space="0"/>
            </w:tcBorders>
            <w:shd w:val="clear" w:color="auto" w:fill="auto"/>
            <w:vAlign w:val="center"/>
          </w:tcPr>
          <w:p w14:paraId="4C468C24">
            <w:pPr>
              <w:widowControl/>
              <w:autoSpaceDE w:val="0"/>
              <w:autoSpaceDN w:val="0"/>
              <w:spacing w:line="280" w:lineRule="exact"/>
              <w:jc w:val="center"/>
              <w:rPr>
                <w:rFonts w:ascii="Times New Roman" w:hAnsi="Times New Roman" w:eastAsia="仿宋_GB2312"/>
                <w:color w:val="auto"/>
                <w:szCs w:val="21"/>
              </w:rPr>
            </w:pPr>
            <w:r>
              <w:rPr>
                <w:rFonts w:hint="eastAsia" w:ascii="Times New Roman" w:hAnsi="Times New Roman" w:eastAsia="仿宋_GB2312"/>
                <w:color w:val="auto"/>
                <w:szCs w:val="21"/>
              </w:rPr>
              <w:t>3</w:t>
            </w:r>
          </w:p>
        </w:tc>
        <w:tc>
          <w:tcPr>
            <w:tcW w:w="1324" w:type="dxa"/>
            <w:vMerge w:val="restart"/>
            <w:tcBorders>
              <w:top w:val="single" w:color="auto" w:sz="4" w:space="0"/>
              <w:left w:val="single" w:color="auto" w:sz="4" w:space="0"/>
              <w:right w:val="single" w:color="auto" w:sz="4" w:space="0"/>
            </w:tcBorders>
            <w:shd w:val="clear" w:color="auto" w:fill="auto"/>
            <w:vAlign w:val="center"/>
          </w:tcPr>
          <w:p w14:paraId="0554A7B8">
            <w:pPr>
              <w:widowControl/>
              <w:autoSpaceDE w:val="0"/>
              <w:autoSpaceDN w:val="0"/>
              <w:spacing w:line="280" w:lineRule="exact"/>
              <w:jc w:val="left"/>
              <w:rPr>
                <w:rFonts w:ascii="Times New Roman" w:hAnsi="Times New Roman" w:eastAsia="仿宋_GB2312"/>
                <w:color w:val="auto"/>
                <w:szCs w:val="21"/>
              </w:rPr>
            </w:pPr>
            <w:r>
              <w:rPr>
                <w:rFonts w:hint="eastAsia" w:ascii="Times New Roman" w:hAnsi="Times New Roman" w:eastAsia="仿宋_GB2312"/>
                <w:color w:val="auto"/>
                <w:szCs w:val="21"/>
              </w:rPr>
              <w:t>对建设工程项目勘察、设计、施工、监理及与工程建设有关的重要设备、材料采购的招标投标活动的行政监督和对招标代理机构的行政检查</w:t>
            </w:r>
          </w:p>
        </w:tc>
        <w:tc>
          <w:tcPr>
            <w:tcW w:w="794" w:type="dxa"/>
            <w:vMerge w:val="restart"/>
            <w:tcBorders>
              <w:top w:val="single" w:color="auto" w:sz="4" w:space="0"/>
              <w:left w:val="single" w:color="auto" w:sz="4" w:space="0"/>
              <w:right w:val="single" w:color="auto" w:sz="4" w:space="0"/>
            </w:tcBorders>
            <w:shd w:val="clear" w:color="auto" w:fill="auto"/>
            <w:vAlign w:val="center"/>
          </w:tcPr>
          <w:p w14:paraId="40071843">
            <w:pPr>
              <w:widowControl/>
              <w:autoSpaceDE w:val="0"/>
              <w:autoSpaceDN w:val="0"/>
              <w:spacing w:line="280" w:lineRule="exact"/>
              <w:jc w:val="center"/>
              <w:rPr>
                <w:rFonts w:ascii="Times New Roman" w:hAnsi="Times New Roman" w:eastAsia="仿宋_GB2312"/>
                <w:color w:val="auto"/>
                <w:szCs w:val="21"/>
              </w:rPr>
            </w:pPr>
            <w:r>
              <w:rPr>
                <w:rFonts w:hint="eastAsia" w:ascii="Times New Roman" w:hAnsi="Times New Roman" w:eastAsia="仿宋_GB2312"/>
                <w:color w:val="auto"/>
                <w:szCs w:val="21"/>
              </w:rPr>
              <w:t>苏州市相城区住房和城乡建设局</w:t>
            </w:r>
          </w:p>
        </w:tc>
        <w:tc>
          <w:tcPr>
            <w:tcW w:w="872" w:type="dxa"/>
            <w:vMerge w:val="restart"/>
            <w:tcBorders>
              <w:top w:val="single" w:color="auto" w:sz="4" w:space="0"/>
              <w:left w:val="single" w:color="auto" w:sz="4" w:space="0"/>
              <w:right w:val="single" w:color="auto" w:sz="4" w:space="0"/>
            </w:tcBorders>
            <w:shd w:val="clear" w:color="auto" w:fill="auto"/>
            <w:vAlign w:val="center"/>
          </w:tcPr>
          <w:p w14:paraId="73271ACD">
            <w:pPr>
              <w:widowControl/>
              <w:autoSpaceDE w:val="0"/>
              <w:autoSpaceDN w:val="0"/>
              <w:spacing w:line="280" w:lineRule="exact"/>
              <w:jc w:val="left"/>
              <w:rPr>
                <w:rFonts w:ascii="Times New Roman" w:hAnsi="Times New Roman" w:eastAsia="仿宋_GB2312"/>
                <w:color w:val="auto"/>
                <w:szCs w:val="21"/>
              </w:rPr>
            </w:pPr>
            <w:r>
              <w:rPr>
                <w:rFonts w:hint="eastAsia" w:ascii="Times New Roman" w:hAnsi="Times New Roman" w:eastAsia="仿宋_GB2312"/>
                <w:color w:val="auto"/>
                <w:szCs w:val="21"/>
              </w:rPr>
              <w:t>相城区招投标管理服务中心</w:t>
            </w:r>
          </w:p>
        </w:tc>
        <w:tc>
          <w:tcPr>
            <w:tcW w:w="869" w:type="dxa"/>
            <w:vMerge w:val="restart"/>
            <w:tcBorders>
              <w:top w:val="single" w:color="auto" w:sz="4" w:space="0"/>
              <w:left w:val="single" w:color="auto" w:sz="4" w:space="0"/>
              <w:right w:val="single" w:color="auto" w:sz="4" w:space="0"/>
            </w:tcBorders>
            <w:shd w:val="clear" w:color="auto" w:fill="auto"/>
            <w:vAlign w:val="center"/>
          </w:tcPr>
          <w:p w14:paraId="6A1C38EE">
            <w:pPr>
              <w:widowControl/>
              <w:autoSpaceDE w:val="0"/>
              <w:autoSpaceDN w:val="0"/>
              <w:spacing w:line="280" w:lineRule="exact"/>
              <w:jc w:val="left"/>
              <w:rPr>
                <w:rFonts w:ascii="Times New Roman" w:hAnsi="Times New Roman" w:eastAsia="仿宋_GB2312"/>
                <w:color w:val="auto"/>
                <w:szCs w:val="21"/>
              </w:rPr>
            </w:pPr>
            <w:r>
              <w:rPr>
                <w:rFonts w:hint="eastAsia" w:ascii="Times New Roman" w:hAnsi="Times New Roman" w:eastAsia="仿宋_GB2312"/>
                <w:color w:val="auto"/>
                <w:szCs w:val="21"/>
              </w:rPr>
              <w:t>招标人、招标代理机构、投标人、中标人、评标委员会</w:t>
            </w:r>
          </w:p>
        </w:tc>
        <w:tc>
          <w:tcPr>
            <w:tcW w:w="4962" w:type="dxa"/>
            <w:vMerge w:val="restart"/>
            <w:tcBorders>
              <w:top w:val="single" w:color="auto" w:sz="4" w:space="0"/>
              <w:left w:val="single" w:color="auto" w:sz="4" w:space="0"/>
              <w:right w:val="single" w:color="auto" w:sz="4" w:space="0"/>
            </w:tcBorders>
            <w:shd w:val="clear" w:color="auto" w:fill="auto"/>
            <w:vAlign w:val="center"/>
          </w:tcPr>
          <w:p w14:paraId="0B0D98D7">
            <w:pPr>
              <w:widowControl/>
              <w:autoSpaceDE w:val="0"/>
              <w:autoSpaceDN w:val="0"/>
              <w:spacing w:line="280" w:lineRule="exact"/>
              <w:jc w:val="left"/>
              <w:rPr>
                <w:rFonts w:ascii="Times New Roman" w:hAnsi="Times New Roman" w:eastAsia="仿宋_GB2312"/>
                <w:color w:val="auto"/>
                <w:szCs w:val="21"/>
              </w:rPr>
            </w:pPr>
            <w:r>
              <w:rPr>
                <w:rFonts w:hint="eastAsia" w:ascii="Times New Roman" w:hAnsi="Times New Roman" w:eastAsia="仿宋_GB2312"/>
                <w:color w:val="auto"/>
                <w:szCs w:val="21"/>
              </w:rPr>
              <w:t>【</w:t>
            </w:r>
            <w:r>
              <w:rPr>
                <w:rFonts w:hint="eastAsia" w:ascii="Times New Roman" w:hAnsi="Times New Roman" w:eastAsia="仿宋_GB2312"/>
                <w:color w:val="auto"/>
                <w:szCs w:val="21"/>
                <w:lang w:val="en-US" w:eastAsia="zh-CN"/>
              </w:rPr>
              <w:t>法律</w:t>
            </w:r>
            <w:r>
              <w:rPr>
                <w:rFonts w:hint="eastAsia" w:ascii="Times New Roman" w:hAnsi="Times New Roman" w:eastAsia="仿宋_GB2312"/>
                <w:color w:val="auto"/>
                <w:szCs w:val="21"/>
              </w:rPr>
              <w:t>】《中华人民共和国招标投标法》</w:t>
            </w:r>
          </w:p>
          <w:p w14:paraId="55BA8E8B">
            <w:pPr>
              <w:widowControl/>
              <w:autoSpaceDE w:val="0"/>
              <w:autoSpaceDN w:val="0"/>
              <w:spacing w:line="280" w:lineRule="exact"/>
              <w:jc w:val="left"/>
              <w:rPr>
                <w:rFonts w:ascii="Times New Roman" w:hAnsi="Times New Roman" w:eastAsia="仿宋_GB2312"/>
                <w:color w:val="auto"/>
                <w:szCs w:val="21"/>
              </w:rPr>
            </w:pPr>
            <w:r>
              <w:rPr>
                <w:rFonts w:hint="eastAsia" w:ascii="Times New Roman" w:hAnsi="Times New Roman" w:eastAsia="仿宋_GB2312"/>
                <w:color w:val="auto"/>
                <w:szCs w:val="21"/>
              </w:rPr>
              <w:t xml:space="preserve">    第七条  招标投标活动及其当事人应当接受依法实施的监督。有关行政监督部门依法对招标投标活动实施监督，依法查处招标投标活动中的违法行为。对招标投标活动的行政监督及有关部门的具体职权划分，由国务院规定。</w:t>
            </w:r>
          </w:p>
          <w:p w14:paraId="5A5CAFDD">
            <w:pPr>
              <w:widowControl/>
              <w:autoSpaceDE w:val="0"/>
              <w:autoSpaceDN w:val="0"/>
              <w:spacing w:line="280" w:lineRule="exact"/>
              <w:jc w:val="left"/>
              <w:rPr>
                <w:rFonts w:ascii="Times New Roman" w:hAnsi="Times New Roman" w:eastAsia="仿宋_GB2312"/>
                <w:color w:val="auto"/>
                <w:szCs w:val="21"/>
              </w:rPr>
            </w:pPr>
            <w:r>
              <w:rPr>
                <w:rFonts w:hint="eastAsia" w:ascii="Times New Roman" w:hAnsi="Times New Roman" w:eastAsia="仿宋_GB2312"/>
                <w:color w:val="auto"/>
                <w:szCs w:val="21"/>
              </w:rPr>
              <w:t>【法规】《中华人民共和国招标投标法实施条例》</w:t>
            </w:r>
          </w:p>
          <w:p w14:paraId="1FB16C31">
            <w:pPr>
              <w:widowControl/>
              <w:autoSpaceDE w:val="0"/>
              <w:autoSpaceDN w:val="0"/>
              <w:spacing w:line="280" w:lineRule="exact"/>
              <w:jc w:val="left"/>
              <w:rPr>
                <w:rFonts w:ascii="Times New Roman" w:hAnsi="Times New Roman" w:eastAsia="仿宋_GB2312"/>
                <w:color w:val="auto"/>
                <w:szCs w:val="21"/>
              </w:rPr>
            </w:pPr>
            <w:r>
              <w:rPr>
                <w:rFonts w:hint="eastAsia" w:ascii="Times New Roman" w:hAnsi="Times New Roman" w:eastAsia="仿宋_GB2312"/>
                <w:color w:val="auto"/>
                <w:szCs w:val="21"/>
              </w:rPr>
              <w:t xml:space="preserve">    第四条  国务院发展改革部门指导和协调全国招标投标工作，对国家重大建设项目的工程招标投标活动实施监督检查。国务院工业和信息化、住房城乡建设、交通运输、铁道、水利、商务等部门，按照规定的职责分工对有关招标投标活动实施监督。县级以上地方人民政府发展改革部门指导和协调本行政区域的招标投标工作。县级以上地方人民政府有关部门按照规定的职责分工，对招标投标活动实施监督，依法查处招标投标活动中的违法行为。县级以上地方人民政府对其所属部门有关招标投标活动的监督职责分工另有规定的，从其规定。</w:t>
            </w:r>
          </w:p>
          <w:p w14:paraId="2858C127">
            <w:pPr>
              <w:widowControl/>
              <w:autoSpaceDE w:val="0"/>
              <w:autoSpaceDN w:val="0"/>
              <w:spacing w:line="280" w:lineRule="exact"/>
              <w:ind w:firstLine="420" w:firstLineChars="200"/>
              <w:jc w:val="left"/>
              <w:rPr>
                <w:rFonts w:ascii="Times New Roman" w:hAnsi="Times New Roman" w:eastAsia="仿宋_GB2312"/>
                <w:color w:val="auto"/>
                <w:szCs w:val="21"/>
              </w:rPr>
            </w:pPr>
            <w:r>
              <w:rPr>
                <w:rFonts w:hint="eastAsia" w:ascii="Times New Roman" w:hAnsi="Times New Roman" w:eastAsia="仿宋_GB2312"/>
                <w:color w:val="auto"/>
                <w:szCs w:val="21"/>
              </w:rPr>
              <w:t>第十一条  国务院住房城乡建设、商务、发展改革、工业和信息化等部门，按照规定的职责分工对招标代理机构依法实施监督管理。</w:t>
            </w:r>
          </w:p>
          <w:p w14:paraId="7FB5A4E1">
            <w:pPr>
              <w:widowControl/>
              <w:autoSpaceDE w:val="0"/>
              <w:autoSpaceDN w:val="0"/>
              <w:spacing w:line="280" w:lineRule="exact"/>
              <w:jc w:val="left"/>
              <w:rPr>
                <w:rFonts w:ascii="Times New Roman" w:hAnsi="Times New Roman" w:eastAsia="仿宋_GB2312"/>
                <w:color w:val="auto"/>
                <w:szCs w:val="21"/>
              </w:rPr>
            </w:pPr>
            <w:r>
              <w:rPr>
                <w:rFonts w:hint="eastAsia" w:ascii="Times New Roman" w:hAnsi="Times New Roman" w:eastAsia="仿宋_GB2312"/>
                <w:color w:val="auto"/>
                <w:szCs w:val="21"/>
              </w:rPr>
              <w:t xml:space="preserve">【文件】《住房城乡建设部办公厅关于取消工程建设项目招标代理机构资格认定加强事中事后监管的通知》 </w:t>
            </w:r>
          </w:p>
          <w:p w14:paraId="531D1726">
            <w:pPr>
              <w:widowControl/>
              <w:autoSpaceDE w:val="0"/>
              <w:autoSpaceDN w:val="0"/>
              <w:spacing w:line="280" w:lineRule="exact"/>
              <w:jc w:val="left"/>
              <w:rPr>
                <w:rFonts w:ascii="Times New Roman" w:hAnsi="Times New Roman" w:eastAsia="仿宋_GB2312"/>
                <w:color w:val="auto"/>
                <w:szCs w:val="21"/>
              </w:rPr>
            </w:pPr>
            <w:r>
              <w:rPr>
                <w:rFonts w:hint="eastAsia" w:ascii="Times New Roman" w:hAnsi="Times New Roman" w:eastAsia="仿宋_GB2312"/>
                <w:color w:val="auto"/>
                <w:szCs w:val="21"/>
              </w:rPr>
              <w:t xml:space="preserve">    各级住房城乡建设主管部门要高度重视招标代理机构资格认定取消后的事中事后监管工作，完善工作机制，创新监管手段，加强工程建设项目招标投标活动监管，依法严肃查处违法违规行为，促进招投标活动有序开展。</w:t>
            </w:r>
          </w:p>
        </w:tc>
        <w:tc>
          <w:tcPr>
            <w:tcW w:w="992" w:type="dxa"/>
            <w:vMerge w:val="restart"/>
            <w:tcBorders>
              <w:top w:val="single" w:color="auto" w:sz="4" w:space="0"/>
              <w:left w:val="single" w:color="auto" w:sz="4" w:space="0"/>
              <w:right w:val="single" w:color="auto" w:sz="4" w:space="0"/>
            </w:tcBorders>
            <w:shd w:val="clear" w:color="auto" w:fill="auto"/>
            <w:vAlign w:val="center"/>
          </w:tcPr>
          <w:p w14:paraId="782695A2">
            <w:pPr>
              <w:widowControl/>
              <w:autoSpaceDE w:val="0"/>
              <w:autoSpaceDN w:val="0"/>
              <w:spacing w:line="280" w:lineRule="exact"/>
              <w:jc w:val="center"/>
              <w:rPr>
                <w:rFonts w:ascii="Times New Roman" w:hAnsi="Times New Roman" w:eastAsia="仿宋_GB2312"/>
                <w:color w:val="auto"/>
                <w:szCs w:val="21"/>
              </w:rPr>
            </w:pPr>
            <w:r>
              <w:rPr>
                <w:rFonts w:hint="eastAsia" w:ascii="Times New Roman" w:hAnsi="Times New Roman" w:eastAsia="仿宋_GB2312"/>
                <w:color w:val="auto"/>
                <w:szCs w:val="21"/>
              </w:rPr>
              <w:t>现场</w:t>
            </w:r>
          </w:p>
          <w:p w14:paraId="238BC389">
            <w:pPr>
              <w:widowControl/>
              <w:autoSpaceDE w:val="0"/>
              <w:autoSpaceDN w:val="0"/>
              <w:spacing w:line="280" w:lineRule="exact"/>
              <w:jc w:val="center"/>
              <w:rPr>
                <w:rFonts w:ascii="Times New Roman" w:hAnsi="Times New Roman" w:eastAsia="仿宋_GB2312"/>
                <w:color w:val="auto"/>
                <w:szCs w:val="21"/>
              </w:rPr>
            </w:pPr>
            <w:r>
              <w:rPr>
                <w:rFonts w:hint="eastAsia" w:ascii="Times New Roman" w:hAnsi="Times New Roman" w:eastAsia="仿宋_GB2312"/>
                <w:color w:val="auto"/>
                <w:szCs w:val="21"/>
              </w:rPr>
              <w:t>检查</w:t>
            </w:r>
          </w:p>
        </w:tc>
        <w:tc>
          <w:tcPr>
            <w:tcW w:w="1139" w:type="dxa"/>
            <w:vMerge w:val="restart"/>
            <w:tcBorders>
              <w:top w:val="single" w:color="auto" w:sz="4" w:space="0"/>
              <w:left w:val="single" w:color="auto" w:sz="4" w:space="0"/>
              <w:right w:val="single" w:color="auto" w:sz="4" w:space="0"/>
            </w:tcBorders>
            <w:shd w:val="clear" w:color="auto" w:fill="auto"/>
            <w:vAlign w:val="center"/>
          </w:tcPr>
          <w:p w14:paraId="5FE7D692">
            <w:pPr>
              <w:widowControl/>
              <w:autoSpaceDE w:val="0"/>
              <w:autoSpaceDN w:val="0"/>
              <w:spacing w:line="280" w:lineRule="exact"/>
              <w:jc w:val="center"/>
              <w:rPr>
                <w:rFonts w:ascii="Times New Roman" w:hAnsi="Times New Roman" w:eastAsia="仿宋_GB2312"/>
                <w:color w:val="auto"/>
                <w:szCs w:val="21"/>
              </w:rPr>
            </w:pPr>
            <w:r>
              <w:rPr>
                <w:rFonts w:hint="eastAsia" w:ascii="Times New Roman" w:hAnsi="Times New Roman" w:eastAsia="仿宋_GB2312"/>
                <w:color w:val="auto"/>
                <w:szCs w:val="21"/>
              </w:rPr>
              <w:t>双随机检查，不少于总标段数的5%且不少于10个标段；</w:t>
            </w:r>
          </w:p>
          <w:p w14:paraId="631ACA1C">
            <w:pPr>
              <w:widowControl/>
              <w:autoSpaceDE w:val="0"/>
              <w:autoSpaceDN w:val="0"/>
              <w:spacing w:line="280" w:lineRule="exact"/>
              <w:jc w:val="center"/>
              <w:rPr>
                <w:rFonts w:ascii="Times New Roman" w:hAnsi="Times New Roman" w:eastAsia="仿宋_GB2312"/>
                <w:color w:val="auto"/>
                <w:szCs w:val="21"/>
              </w:rPr>
            </w:pPr>
            <w:r>
              <w:rPr>
                <w:rFonts w:hint="eastAsia" w:ascii="Times New Roman" w:hAnsi="Times New Roman" w:eastAsia="仿宋_GB2312"/>
                <w:color w:val="auto"/>
                <w:szCs w:val="21"/>
              </w:rPr>
              <w:t>对招标代理机构的行政检查与招投标检查合并进行</w:t>
            </w:r>
          </w:p>
        </w:tc>
        <w:tc>
          <w:tcPr>
            <w:tcW w:w="1491" w:type="dxa"/>
            <w:tcBorders>
              <w:top w:val="single" w:color="auto" w:sz="4" w:space="0"/>
              <w:left w:val="single" w:color="auto" w:sz="4" w:space="0"/>
              <w:bottom w:val="single" w:color="auto" w:sz="4" w:space="0"/>
              <w:right w:val="single" w:color="auto" w:sz="4" w:space="0"/>
            </w:tcBorders>
            <w:shd w:val="clear" w:color="auto" w:fill="auto"/>
            <w:vAlign w:val="center"/>
          </w:tcPr>
          <w:p w14:paraId="77F40203">
            <w:pPr>
              <w:widowControl/>
              <w:autoSpaceDE w:val="0"/>
              <w:autoSpaceDN w:val="0"/>
              <w:spacing w:line="280" w:lineRule="exact"/>
              <w:jc w:val="center"/>
              <w:rPr>
                <w:rFonts w:ascii="Times New Roman" w:hAnsi="Times New Roman" w:eastAsia="仿宋_GB2312"/>
                <w:color w:val="auto"/>
                <w:szCs w:val="21"/>
              </w:rPr>
            </w:pPr>
            <w:r>
              <w:rPr>
                <w:rFonts w:hint="eastAsia" w:ascii="Times New Roman" w:hAnsi="Times New Roman" w:eastAsia="仿宋_GB2312"/>
                <w:color w:val="auto"/>
                <w:szCs w:val="21"/>
              </w:rPr>
              <w:t>320217579000</w:t>
            </w:r>
          </w:p>
        </w:tc>
        <w:tc>
          <w:tcPr>
            <w:tcW w:w="1481" w:type="dxa"/>
            <w:tcBorders>
              <w:top w:val="single" w:color="auto" w:sz="4" w:space="0"/>
              <w:left w:val="single" w:color="auto" w:sz="4" w:space="0"/>
              <w:bottom w:val="single" w:color="auto" w:sz="4" w:space="0"/>
              <w:right w:val="single" w:color="auto" w:sz="4" w:space="0"/>
            </w:tcBorders>
            <w:shd w:val="clear" w:color="auto" w:fill="auto"/>
            <w:vAlign w:val="center"/>
          </w:tcPr>
          <w:p w14:paraId="40581F00">
            <w:pPr>
              <w:widowControl/>
              <w:autoSpaceDE w:val="0"/>
              <w:autoSpaceDN w:val="0"/>
              <w:spacing w:line="280" w:lineRule="exact"/>
              <w:rPr>
                <w:rFonts w:ascii="Times New Roman" w:hAnsi="Times New Roman" w:eastAsia="仿宋_GB2312"/>
                <w:color w:val="auto"/>
                <w:szCs w:val="21"/>
              </w:rPr>
            </w:pPr>
            <w:r>
              <w:rPr>
                <w:rFonts w:hint="eastAsia" w:ascii="Times New Roman" w:hAnsi="Times New Roman" w:eastAsia="仿宋_GB2312"/>
                <w:color w:val="auto"/>
                <w:szCs w:val="21"/>
              </w:rPr>
              <w:t>人员向他人透露对投标文件的评审和比较、中标候选人的推荐以及与评标有关的其他情况的处罚</w:t>
            </w:r>
          </w:p>
        </w:tc>
        <w:tc>
          <w:tcPr>
            <w:tcW w:w="622" w:type="dxa"/>
            <w:tcBorders>
              <w:left w:val="single" w:color="auto" w:sz="4" w:space="0"/>
              <w:right w:val="single" w:color="auto" w:sz="4" w:space="0"/>
            </w:tcBorders>
            <w:shd w:val="clear" w:color="auto" w:fill="auto"/>
            <w:vAlign w:val="center"/>
          </w:tcPr>
          <w:p w14:paraId="4EEBD2D6">
            <w:pPr>
              <w:spacing w:line="280" w:lineRule="exact"/>
              <w:jc w:val="center"/>
              <w:rPr>
                <w:rFonts w:ascii="Times New Roman" w:hAnsi="Times New Roman" w:eastAsia="仿宋_GB2312"/>
                <w:color w:val="auto"/>
                <w:kern w:val="0"/>
                <w:szCs w:val="21"/>
              </w:rPr>
            </w:pPr>
          </w:p>
        </w:tc>
      </w:tr>
      <w:tr w14:paraId="7F29D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6" w:type="dxa"/>
            <w:vMerge w:val="continue"/>
            <w:tcBorders>
              <w:left w:val="single" w:color="auto" w:sz="4" w:space="0"/>
              <w:right w:val="single" w:color="auto" w:sz="4" w:space="0"/>
            </w:tcBorders>
            <w:shd w:val="clear" w:color="auto" w:fill="auto"/>
            <w:vAlign w:val="center"/>
          </w:tcPr>
          <w:p w14:paraId="51C69BB8">
            <w:pPr>
              <w:widowControl/>
              <w:autoSpaceDE w:val="0"/>
              <w:autoSpaceDN w:val="0"/>
              <w:spacing w:line="280" w:lineRule="exact"/>
              <w:jc w:val="left"/>
              <w:rPr>
                <w:rFonts w:ascii="Times New Roman" w:hAnsi="Times New Roman" w:eastAsia="仿宋_GB2312"/>
                <w:color w:val="auto"/>
                <w:szCs w:val="21"/>
              </w:rPr>
            </w:pPr>
          </w:p>
        </w:tc>
        <w:tc>
          <w:tcPr>
            <w:tcW w:w="1324" w:type="dxa"/>
            <w:vMerge w:val="continue"/>
            <w:tcBorders>
              <w:left w:val="single" w:color="auto" w:sz="4" w:space="0"/>
              <w:right w:val="single" w:color="auto" w:sz="4" w:space="0"/>
            </w:tcBorders>
            <w:shd w:val="clear" w:color="auto" w:fill="auto"/>
            <w:vAlign w:val="center"/>
          </w:tcPr>
          <w:p w14:paraId="7D63BF33">
            <w:pPr>
              <w:widowControl/>
              <w:autoSpaceDE w:val="0"/>
              <w:autoSpaceDN w:val="0"/>
              <w:spacing w:line="280" w:lineRule="exact"/>
              <w:jc w:val="left"/>
              <w:rPr>
                <w:rFonts w:ascii="Times New Roman" w:hAnsi="Times New Roman" w:eastAsia="仿宋_GB2312"/>
                <w:color w:val="auto"/>
                <w:szCs w:val="21"/>
              </w:rPr>
            </w:pPr>
          </w:p>
        </w:tc>
        <w:tc>
          <w:tcPr>
            <w:tcW w:w="794" w:type="dxa"/>
            <w:vMerge w:val="continue"/>
            <w:tcBorders>
              <w:left w:val="single" w:color="auto" w:sz="4" w:space="0"/>
              <w:right w:val="single" w:color="auto" w:sz="4" w:space="0"/>
            </w:tcBorders>
            <w:shd w:val="clear" w:color="auto" w:fill="auto"/>
            <w:vAlign w:val="center"/>
          </w:tcPr>
          <w:p w14:paraId="24CFB75F">
            <w:pPr>
              <w:widowControl/>
              <w:autoSpaceDE w:val="0"/>
              <w:autoSpaceDN w:val="0"/>
              <w:spacing w:line="280" w:lineRule="exact"/>
              <w:jc w:val="left"/>
              <w:rPr>
                <w:rFonts w:ascii="Times New Roman" w:hAnsi="Times New Roman" w:eastAsia="仿宋_GB2312"/>
                <w:color w:val="auto"/>
                <w:szCs w:val="21"/>
              </w:rPr>
            </w:pPr>
          </w:p>
        </w:tc>
        <w:tc>
          <w:tcPr>
            <w:tcW w:w="872" w:type="dxa"/>
            <w:vMerge w:val="continue"/>
            <w:tcBorders>
              <w:left w:val="single" w:color="auto" w:sz="4" w:space="0"/>
              <w:right w:val="single" w:color="auto" w:sz="4" w:space="0"/>
            </w:tcBorders>
            <w:shd w:val="clear" w:color="auto" w:fill="auto"/>
            <w:vAlign w:val="center"/>
          </w:tcPr>
          <w:p w14:paraId="31CC65DA">
            <w:pPr>
              <w:widowControl/>
              <w:autoSpaceDE w:val="0"/>
              <w:autoSpaceDN w:val="0"/>
              <w:spacing w:line="280" w:lineRule="exact"/>
              <w:jc w:val="left"/>
              <w:rPr>
                <w:rFonts w:ascii="Times New Roman" w:hAnsi="Times New Roman" w:eastAsia="仿宋_GB2312"/>
                <w:color w:val="auto"/>
                <w:szCs w:val="21"/>
              </w:rPr>
            </w:pPr>
          </w:p>
        </w:tc>
        <w:tc>
          <w:tcPr>
            <w:tcW w:w="869" w:type="dxa"/>
            <w:vMerge w:val="continue"/>
            <w:tcBorders>
              <w:left w:val="single" w:color="auto" w:sz="4" w:space="0"/>
              <w:right w:val="single" w:color="auto" w:sz="4" w:space="0"/>
            </w:tcBorders>
            <w:shd w:val="clear" w:color="auto" w:fill="auto"/>
            <w:vAlign w:val="center"/>
          </w:tcPr>
          <w:p w14:paraId="7D858D0F">
            <w:pPr>
              <w:widowControl/>
              <w:autoSpaceDE w:val="0"/>
              <w:autoSpaceDN w:val="0"/>
              <w:spacing w:line="280" w:lineRule="exact"/>
              <w:jc w:val="left"/>
              <w:rPr>
                <w:rFonts w:ascii="Times New Roman" w:hAnsi="Times New Roman" w:eastAsia="仿宋_GB2312"/>
                <w:color w:val="auto"/>
                <w:szCs w:val="21"/>
              </w:rPr>
            </w:pPr>
          </w:p>
        </w:tc>
        <w:tc>
          <w:tcPr>
            <w:tcW w:w="4962" w:type="dxa"/>
            <w:vMerge w:val="continue"/>
            <w:tcBorders>
              <w:left w:val="single" w:color="auto" w:sz="4" w:space="0"/>
              <w:right w:val="single" w:color="auto" w:sz="4" w:space="0"/>
            </w:tcBorders>
            <w:shd w:val="clear" w:color="auto" w:fill="auto"/>
            <w:vAlign w:val="center"/>
          </w:tcPr>
          <w:p w14:paraId="79CFC91B">
            <w:pPr>
              <w:widowControl/>
              <w:autoSpaceDE w:val="0"/>
              <w:autoSpaceDN w:val="0"/>
              <w:spacing w:line="280" w:lineRule="exact"/>
              <w:jc w:val="left"/>
              <w:rPr>
                <w:rFonts w:ascii="Times New Roman" w:hAnsi="Times New Roman" w:eastAsia="仿宋_GB2312"/>
                <w:color w:val="auto"/>
                <w:szCs w:val="21"/>
              </w:rPr>
            </w:pPr>
          </w:p>
        </w:tc>
        <w:tc>
          <w:tcPr>
            <w:tcW w:w="992" w:type="dxa"/>
            <w:vMerge w:val="continue"/>
            <w:tcBorders>
              <w:left w:val="single" w:color="auto" w:sz="4" w:space="0"/>
              <w:right w:val="single" w:color="auto" w:sz="4" w:space="0"/>
            </w:tcBorders>
            <w:shd w:val="clear" w:color="auto" w:fill="auto"/>
            <w:vAlign w:val="center"/>
          </w:tcPr>
          <w:p w14:paraId="4F32C083">
            <w:pPr>
              <w:widowControl/>
              <w:autoSpaceDE w:val="0"/>
              <w:autoSpaceDN w:val="0"/>
              <w:spacing w:line="280" w:lineRule="exact"/>
              <w:jc w:val="left"/>
              <w:rPr>
                <w:rFonts w:ascii="Times New Roman" w:hAnsi="Times New Roman" w:eastAsia="仿宋_GB2312"/>
                <w:color w:val="auto"/>
                <w:szCs w:val="21"/>
              </w:rPr>
            </w:pPr>
          </w:p>
        </w:tc>
        <w:tc>
          <w:tcPr>
            <w:tcW w:w="1139" w:type="dxa"/>
            <w:vMerge w:val="continue"/>
            <w:tcBorders>
              <w:left w:val="single" w:color="auto" w:sz="4" w:space="0"/>
              <w:right w:val="single" w:color="auto" w:sz="4" w:space="0"/>
            </w:tcBorders>
            <w:shd w:val="clear" w:color="auto" w:fill="auto"/>
            <w:vAlign w:val="center"/>
          </w:tcPr>
          <w:p w14:paraId="347F4AD7">
            <w:pPr>
              <w:widowControl/>
              <w:autoSpaceDE w:val="0"/>
              <w:autoSpaceDN w:val="0"/>
              <w:spacing w:line="280" w:lineRule="exact"/>
              <w:jc w:val="center"/>
              <w:rPr>
                <w:rFonts w:ascii="Times New Roman" w:hAnsi="Times New Roman" w:eastAsia="仿宋_GB2312"/>
                <w:color w:val="auto"/>
                <w:szCs w:val="21"/>
              </w:rPr>
            </w:pPr>
          </w:p>
        </w:tc>
        <w:tc>
          <w:tcPr>
            <w:tcW w:w="1491" w:type="dxa"/>
            <w:tcBorders>
              <w:top w:val="single" w:color="auto" w:sz="4" w:space="0"/>
              <w:left w:val="single" w:color="auto" w:sz="4" w:space="0"/>
              <w:bottom w:val="single" w:color="auto" w:sz="4" w:space="0"/>
              <w:right w:val="single" w:color="auto" w:sz="4" w:space="0"/>
            </w:tcBorders>
            <w:shd w:val="clear" w:color="auto" w:fill="auto"/>
            <w:vAlign w:val="center"/>
          </w:tcPr>
          <w:p w14:paraId="32936736">
            <w:pPr>
              <w:widowControl/>
              <w:autoSpaceDE w:val="0"/>
              <w:autoSpaceDN w:val="0"/>
              <w:spacing w:line="280" w:lineRule="exact"/>
              <w:jc w:val="center"/>
              <w:rPr>
                <w:rFonts w:ascii="Times New Roman" w:hAnsi="Times New Roman" w:eastAsia="仿宋_GB2312"/>
                <w:color w:val="auto"/>
                <w:szCs w:val="21"/>
              </w:rPr>
            </w:pPr>
            <w:r>
              <w:rPr>
                <w:rFonts w:hint="eastAsia" w:ascii="Times New Roman" w:hAnsi="Times New Roman" w:eastAsia="仿宋_GB2312"/>
                <w:color w:val="auto"/>
                <w:szCs w:val="21"/>
              </w:rPr>
              <w:t>320217572000</w:t>
            </w:r>
          </w:p>
        </w:tc>
        <w:tc>
          <w:tcPr>
            <w:tcW w:w="1481" w:type="dxa"/>
            <w:tcBorders>
              <w:top w:val="single" w:color="auto" w:sz="4" w:space="0"/>
              <w:left w:val="single" w:color="auto" w:sz="4" w:space="0"/>
              <w:bottom w:val="single" w:color="auto" w:sz="4" w:space="0"/>
              <w:right w:val="single" w:color="auto" w:sz="4" w:space="0"/>
            </w:tcBorders>
            <w:shd w:val="clear" w:color="auto" w:fill="auto"/>
            <w:vAlign w:val="center"/>
          </w:tcPr>
          <w:p w14:paraId="5E27767C">
            <w:pPr>
              <w:widowControl/>
              <w:autoSpaceDE w:val="0"/>
              <w:autoSpaceDN w:val="0"/>
              <w:spacing w:line="280" w:lineRule="exact"/>
              <w:rPr>
                <w:rFonts w:ascii="Times New Roman" w:hAnsi="Times New Roman" w:eastAsia="仿宋_GB2312"/>
                <w:color w:val="auto"/>
                <w:szCs w:val="21"/>
              </w:rPr>
            </w:pPr>
            <w:r>
              <w:rPr>
                <w:rFonts w:hint="eastAsia" w:ascii="Times New Roman" w:hAnsi="Times New Roman" w:eastAsia="仿宋_GB2312"/>
                <w:color w:val="auto"/>
                <w:szCs w:val="21"/>
              </w:rPr>
              <w:t>对在不同媒介发布的同一招标项目的资格预审公告或者招标公告的内容不一致，影响潜在投标人申请资格预审或者投标的处罚</w:t>
            </w:r>
          </w:p>
        </w:tc>
        <w:tc>
          <w:tcPr>
            <w:tcW w:w="622" w:type="dxa"/>
            <w:tcBorders>
              <w:left w:val="single" w:color="auto" w:sz="4" w:space="0"/>
              <w:right w:val="single" w:color="auto" w:sz="4" w:space="0"/>
            </w:tcBorders>
            <w:shd w:val="clear" w:color="auto" w:fill="auto"/>
            <w:vAlign w:val="center"/>
          </w:tcPr>
          <w:p w14:paraId="4C166C43">
            <w:pPr>
              <w:spacing w:line="280" w:lineRule="exact"/>
              <w:jc w:val="center"/>
              <w:rPr>
                <w:rFonts w:ascii="Times New Roman" w:hAnsi="Times New Roman" w:eastAsia="仿宋_GB2312"/>
                <w:color w:val="auto"/>
                <w:kern w:val="0"/>
                <w:szCs w:val="21"/>
              </w:rPr>
            </w:pPr>
          </w:p>
        </w:tc>
      </w:tr>
      <w:tr w14:paraId="47E9E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6" w:type="dxa"/>
            <w:vMerge w:val="continue"/>
            <w:tcBorders>
              <w:left w:val="single" w:color="auto" w:sz="4" w:space="0"/>
              <w:bottom w:val="single" w:color="auto" w:sz="4" w:space="0"/>
              <w:right w:val="single" w:color="auto" w:sz="4" w:space="0"/>
            </w:tcBorders>
            <w:shd w:val="clear" w:color="auto" w:fill="auto"/>
            <w:vAlign w:val="center"/>
          </w:tcPr>
          <w:p w14:paraId="4DA49937">
            <w:pPr>
              <w:widowControl/>
              <w:autoSpaceDE w:val="0"/>
              <w:autoSpaceDN w:val="0"/>
              <w:spacing w:line="280" w:lineRule="exact"/>
              <w:jc w:val="left"/>
              <w:rPr>
                <w:rFonts w:ascii="Times New Roman" w:hAnsi="Times New Roman" w:eastAsia="仿宋_GB2312"/>
                <w:color w:val="auto"/>
                <w:szCs w:val="21"/>
              </w:rPr>
            </w:pPr>
          </w:p>
        </w:tc>
        <w:tc>
          <w:tcPr>
            <w:tcW w:w="1324" w:type="dxa"/>
            <w:vMerge w:val="continue"/>
            <w:tcBorders>
              <w:left w:val="single" w:color="auto" w:sz="4" w:space="0"/>
              <w:bottom w:val="single" w:color="auto" w:sz="4" w:space="0"/>
              <w:right w:val="single" w:color="auto" w:sz="4" w:space="0"/>
            </w:tcBorders>
            <w:shd w:val="clear" w:color="auto" w:fill="auto"/>
            <w:vAlign w:val="center"/>
          </w:tcPr>
          <w:p w14:paraId="3C4F2826">
            <w:pPr>
              <w:widowControl/>
              <w:autoSpaceDE w:val="0"/>
              <w:autoSpaceDN w:val="0"/>
              <w:spacing w:line="280" w:lineRule="exact"/>
              <w:jc w:val="left"/>
              <w:rPr>
                <w:rFonts w:ascii="Times New Roman" w:hAnsi="Times New Roman" w:eastAsia="仿宋_GB2312"/>
                <w:color w:val="auto"/>
                <w:szCs w:val="21"/>
              </w:rPr>
            </w:pPr>
          </w:p>
        </w:tc>
        <w:tc>
          <w:tcPr>
            <w:tcW w:w="794" w:type="dxa"/>
            <w:vMerge w:val="continue"/>
            <w:tcBorders>
              <w:left w:val="single" w:color="auto" w:sz="4" w:space="0"/>
              <w:bottom w:val="single" w:color="auto" w:sz="4" w:space="0"/>
              <w:right w:val="single" w:color="auto" w:sz="4" w:space="0"/>
            </w:tcBorders>
            <w:shd w:val="clear" w:color="auto" w:fill="auto"/>
            <w:vAlign w:val="center"/>
          </w:tcPr>
          <w:p w14:paraId="11CA087E">
            <w:pPr>
              <w:widowControl/>
              <w:autoSpaceDE w:val="0"/>
              <w:autoSpaceDN w:val="0"/>
              <w:spacing w:line="280" w:lineRule="exact"/>
              <w:jc w:val="left"/>
              <w:rPr>
                <w:rFonts w:ascii="Times New Roman" w:hAnsi="Times New Roman" w:eastAsia="仿宋_GB2312"/>
                <w:color w:val="auto"/>
                <w:szCs w:val="21"/>
              </w:rPr>
            </w:pPr>
          </w:p>
        </w:tc>
        <w:tc>
          <w:tcPr>
            <w:tcW w:w="872" w:type="dxa"/>
            <w:vMerge w:val="continue"/>
            <w:tcBorders>
              <w:left w:val="single" w:color="auto" w:sz="4" w:space="0"/>
              <w:bottom w:val="single" w:color="auto" w:sz="4" w:space="0"/>
              <w:right w:val="single" w:color="auto" w:sz="4" w:space="0"/>
            </w:tcBorders>
            <w:shd w:val="clear" w:color="auto" w:fill="auto"/>
            <w:vAlign w:val="center"/>
          </w:tcPr>
          <w:p w14:paraId="78E59EEA">
            <w:pPr>
              <w:widowControl/>
              <w:autoSpaceDE w:val="0"/>
              <w:autoSpaceDN w:val="0"/>
              <w:spacing w:line="280" w:lineRule="exact"/>
              <w:jc w:val="left"/>
              <w:rPr>
                <w:rFonts w:ascii="Times New Roman" w:hAnsi="Times New Roman" w:eastAsia="仿宋_GB2312"/>
                <w:color w:val="auto"/>
                <w:szCs w:val="21"/>
              </w:rPr>
            </w:pPr>
          </w:p>
        </w:tc>
        <w:tc>
          <w:tcPr>
            <w:tcW w:w="869" w:type="dxa"/>
            <w:vMerge w:val="continue"/>
            <w:tcBorders>
              <w:left w:val="single" w:color="auto" w:sz="4" w:space="0"/>
              <w:bottom w:val="single" w:color="auto" w:sz="4" w:space="0"/>
              <w:right w:val="single" w:color="auto" w:sz="4" w:space="0"/>
            </w:tcBorders>
            <w:shd w:val="clear" w:color="auto" w:fill="auto"/>
            <w:vAlign w:val="center"/>
          </w:tcPr>
          <w:p w14:paraId="1F4E3D56">
            <w:pPr>
              <w:widowControl/>
              <w:autoSpaceDE w:val="0"/>
              <w:autoSpaceDN w:val="0"/>
              <w:spacing w:line="280" w:lineRule="exact"/>
              <w:jc w:val="left"/>
              <w:rPr>
                <w:rFonts w:ascii="Times New Roman" w:hAnsi="Times New Roman" w:eastAsia="仿宋_GB2312"/>
                <w:color w:val="auto"/>
                <w:szCs w:val="21"/>
              </w:rPr>
            </w:pPr>
          </w:p>
        </w:tc>
        <w:tc>
          <w:tcPr>
            <w:tcW w:w="4962" w:type="dxa"/>
            <w:vMerge w:val="continue"/>
            <w:tcBorders>
              <w:left w:val="single" w:color="auto" w:sz="4" w:space="0"/>
              <w:bottom w:val="single" w:color="auto" w:sz="4" w:space="0"/>
              <w:right w:val="single" w:color="auto" w:sz="4" w:space="0"/>
            </w:tcBorders>
            <w:shd w:val="clear" w:color="auto" w:fill="auto"/>
            <w:vAlign w:val="center"/>
          </w:tcPr>
          <w:p w14:paraId="1F2DBE9A">
            <w:pPr>
              <w:widowControl/>
              <w:autoSpaceDE w:val="0"/>
              <w:autoSpaceDN w:val="0"/>
              <w:spacing w:line="280" w:lineRule="exact"/>
              <w:jc w:val="left"/>
              <w:rPr>
                <w:rFonts w:ascii="Times New Roman" w:hAnsi="Times New Roman" w:eastAsia="仿宋_GB2312"/>
                <w:color w:val="auto"/>
                <w:szCs w:val="21"/>
              </w:rPr>
            </w:pPr>
          </w:p>
        </w:tc>
        <w:tc>
          <w:tcPr>
            <w:tcW w:w="992" w:type="dxa"/>
            <w:vMerge w:val="continue"/>
            <w:tcBorders>
              <w:left w:val="single" w:color="auto" w:sz="4" w:space="0"/>
              <w:bottom w:val="single" w:color="auto" w:sz="4" w:space="0"/>
              <w:right w:val="single" w:color="auto" w:sz="4" w:space="0"/>
            </w:tcBorders>
            <w:shd w:val="clear" w:color="auto" w:fill="auto"/>
            <w:vAlign w:val="center"/>
          </w:tcPr>
          <w:p w14:paraId="52933737">
            <w:pPr>
              <w:widowControl/>
              <w:autoSpaceDE w:val="0"/>
              <w:autoSpaceDN w:val="0"/>
              <w:spacing w:line="280" w:lineRule="exact"/>
              <w:jc w:val="left"/>
              <w:rPr>
                <w:rFonts w:ascii="Times New Roman" w:hAnsi="Times New Roman" w:eastAsia="仿宋_GB2312"/>
                <w:color w:val="auto"/>
                <w:szCs w:val="21"/>
              </w:rPr>
            </w:pPr>
          </w:p>
        </w:tc>
        <w:tc>
          <w:tcPr>
            <w:tcW w:w="1139" w:type="dxa"/>
            <w:vMerge w:val="continue"/>
            <w:tcBorders>
              <w:left w:val="single" w:color="auto" w:sz="4" w:space="0"/>
              <w:bottom w:val="single" w:color="auto" w:sz="4" w:space="0"/>
              <w:right w:val="single" w:color="auto" w:sz="4" w:space="0"/>
            </w:tcBorders>
            <w:shd w:val="clear" w:color="auto" w:fill="auto"/>
            <w:vAlign w:val="center"/>
          </w:tcPr>
          <w:p w14:paraId="0D9E864A">
            <w:pPr>
              <w:widowControl/>
              <w:autoSpaceDE w:val="0"/>
              <w:autoSpaceDN w:val="0"/>
              <w:spacing w:line="280" w:lineRule="exact"/>
              <w:jc w:val="center"/>
              <w:rPr>
                <w:rFonts w:ascii="Times New Roman" w:hAnsi="Times New Roman" w:eastAsia="仿宋_GB2312"/>
                <w:color w:val="auto"/>
                <w:szCs w:val="21"/>
              </w:rPr>
            </w:pPr>
          </w:p>
        </w:tc>
        <w:tc>
          <w:tcPr>
            <w:tcW w:w="1491" w:type="dxa"/>
            <w:tcBorders>
              <w:top w:val="single" w:color="auto" w:sz="4" w:space="0"/>
              <w:left w:val="single" w:color="auto" w:sz="4" w:space="0"/>
              <w:bottom w:val="single" w:color="auto" w:sz="4" w:space="0"/>
              <w:right w:val="single" w:color="auto" w:sz="4" w:space="0"/>
            </w:tcBorders>
            <w:shd w:val="clear" w:color="auto" w:fill="auto"/>
            <w:vAlign w:val="center"/>
          </w:tcPr>
          <w:p w14:paraId="1FB4E8CE">
            <w:pPr>
              <w:widowControl/>
              <w:autoSpaceDE w:val="0"/>
              <w:autoSpaceDN w:val="0"/>
              <w:spacing w:line="280" w:lineRule="exact"/>
              <w:jc w:val="center"/>
              <w:rPr>
                <w:rFonts w:ascii="Times New Roman" w:hAnsi="Times New Roman" w:eastAsia="仿宋_GB2312"/>
                <w:color w:val="auto"/>
                <w:szCs w:val="21"/>
              </w:rPr>
            </w:pPr>
            <w:r>
              <w:rPr>
                <w:rFonts w:hint="eastAsia" w:ascii="Times New Roman" w:hAnsi="Times New Roman" w:eastAsia="仿宋_GB2312"/>
                <w:color w:val="auto"/>
                <w:szCs w:val="21"/>
              </w:rPr>
              <w:t>320217551000</w:t>
            </w:r>
          </w:p>
        </w:tc>
        <w:tc>
          <w:tcPr>
            <w:tcW w:w="1481" w:type="dxa"/>
            <w:tcBorders>
              <w:top w:val="single" w:color="auto" w:sz="4" w:space="0"/>
              <w:left w:val="single" w:color="auto" w:sz="4" w:space="0"/>
              <w:bottom w:val="single" w:color="auto" w:sz="4" w:space="0"/>
              <w:right w:val="single" w:color="auto" w:sz="4" w:space="0"/>
            </w:tcBorders>
            <w:shd w:val="clear" w:color="auto" w:fill="auto"/>
            <w:vAlign w:val="center"/>
          </w:tcPr>
          <w:p w14:paraId="6B03FB57">
            <w:pPr>
              <w:widowControl/>
              <w:autoSpaceDE w:val="0"/>
              <w:autoSpaceDN w:val="0"/>
              <w:spacing w:line="280" w:lineRule="exact"/>
              <w:rPr>
                <w:rFonts w:ascii="Times New Roman" w:hAnsi="Times New Roman" w:eastAsia="仿宋_GB2312"/>
                <w:color w:val="auto"/>
                <w:szCs w:val="21"/>
              </w:rPr>
            </w:pPr>
            <w:r>
              <w:rPr>
                <w:rFonts w:hint="eastAsia" w:ascii="Times New Roman" w:hAnsi="Times New Roman" w:eastAsia="仿宋_GB2312"/>
                <w:color w:val="auto"/>
                <w:szCs w:val="21"/>
              </w:rPr>
              <w:t>对招标人在评标委员会依法推荐的中标候选人以外确定中标人的，依法必须进行招标的项目在所有投标被评标委员会否决后自行确定中标人的处罚</w:t>
            </w:r>
          </w:p>
        </w:tc>
        <w:tc>
          <w:tcPr>
            <w:tcW w:w="622" w:type="dxa"/>
            <w:tcBorders>
              <w:left w:val="single" w:color="auto" w:sz="4" w:space="0"/>
              <w:bottom w:val="single" w:color="auto" w:sz="4" w:space="0"/>
              <w:right w:val="single" w:color="auto" w:sz="4" w:space="0"/>
            </w:tcBorders>
            <w:shd w:val="clear" w:color="auto" w:fill="auto"/>
            <w:vAlign w:val="center"/>
          </w:tcPr>
          <w:p w14:paraId="65B20135">
            <w:pPr>
              <w:spacing w:line="280" w:lineRule="exact"/>
              <w:jc w:val="center"/>
              <w:rPr>
                <w:rFonts w:ascii="Times New Roman" w:hAnsi="Times New Roman" w:eastAsia="仿宋_GB2312"/>
                <w:color w:val="auto"/>
                <w:kern w:val="0"/>
                <w:szCs w:val="21"/>
              </w:rPr>
            </w:pPr>
          </w:p>
        </w:tc>
      </w:tr>
      <w:tr w14:paraId="19429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7" w:hRule="atLeast"/>
          <w:jc w:val="center"/>
        </w:trPr>
        <w:tc>
          <w:tcPr>
            <w:tcW w:w="536" w:type="dxa"/>
            <w:vMerge w:val="restart"/>
            <w:tcBorders>
              <w:top w:val="single" w:color="auto" w:sz="4" w:space="0"/>
              <w:left w:val="single" w:color="auto" w:sz="4" w:space="0"/>
              <w:right w:val="single" w:color="auto" w:sz="4" w:space="0"/>
            </w:tcBorders>
            <w:shd w:val="clear" w:color="auto" w:fill="auto"/>
            <w:vAlign w:val="center"/>
          </w:tcPr>
          <w:p w14:paraId="086466E0">
            <w:pPr>
              <w:widowControl/>
              <w:autoSpaceDE w:val="0"/>
              <w:autoSpaceDN w:val="0"/>
              <w:spacing w:line="280" w:lineRule="exact"/>
              <w:jc w:val="center"/>
              <w:rPr>
                <w:rFonts w:ascii="Times New Roman" w:hAnsi="Times New Roman" w:eastAsia="仿宋_GB2312"/>
                <w:color w:val="auto"/>
                <w:szCs w:val="21"/>
              </w:rPr>
            </w:pPr>
            <w:r>
              <w:rPr>
                <w:rFonts w:hint="eastAsia" w:ascii="Times New Roman" w:hAnsi="Times New Roman" w:eastAsia="仿宋_GB2312"/>
                <w:color w:val="auto"/>
                <w:szCs w:val="21"/>
              </w:rPr>
              <w:t>3</w:t>
            </w:r>
          </w:p>
        </w:tc>
        <w:tc>
          <w:tcPr>
            <w:tcW w:w="1324" w:type="dxa"/>
            <w:vMerge w:val="restart"/>
            <w:tcBorders>
              <w:top w:val="single" w:color="auto" w:sz="4" w:space="0"/>
              <w:left w:val="single" w:color="auto" w:sz="4" w:space="0"/>
              <w:right w:val="single" w:color="auto" w:sz="4" w:space="0"/>
            </w:tcBorders>
            <w:shd w:val="clear" w:color="auto" w:fill="auto"/>
            <w:vAlign w:val="center"/>
          </w:tcPr>
          <w:p w14:paraId="2343510A">
            <w:pPr>
              <w:widowControl/>
              <w:autoSpaceDE w:val="0"/>
              <w:autoSpaceDN w:val="0"/>
              <w:spacing w:line="280" w:lineRule="exact"/>
              <w:jc w:val="left"/>
              <w:rPr>
                <w:rFonts w:ascii="Times New Roman" w:hAnsi="Times New Roman" w:eastAsia="仿宋_GB2312"/>
                <w:color w:val="auto"/>
                <w:szCs w:val="21"/>
              </w:rPr>
            </w:pPr>
            <w:r>
              <w:rPr>
                <w:rFonts w:hint="eastAsia" w:ascii="Times New Roman" w:hAnsi="Times New Roman" w:eastAsia="仿宋_GB2312"/>
                <w:color w:val="auto"/>
                <w:szCs w:val="21"/>
              </w:rPr>
              <w:t>对建设工程项目勘察、设计、施工、监理及与工程建设有关的重要设备、材料采购的招标投标活动的行政监督和对招标代理机构的行政检查</w:t>
            </w:r>
          </w:p>
        </w:tc>
        <w:tc>
          <w:tcPr>
            <w:tcW w:w="794" w:type="dxa"/>
            <w:vMerge w:val="restart"/>
            <w:tcBorders>
              <w:top w:val="single" w:color="auto" w:sz="4" w:space="0"/>
              <w:left w:val="single" w:color="auto" w:sz="4" w:space="0"/>
              <w:right w:val="single" w:color="auto" w:sz="4" w:space="0"/>
            </w:tcBorders>
            <w:shd w:val="clear" w:color="auto" w:fill="auto"/>
            <w:vAlign w:val="center"/>
          </w:tcPr>
          <w:p w14:paraId="5CDF8340">
            <w:pPr>
              <w:widowControl/>
              <w:autoSpaceDE w:val="0"/>
              <w:autoSpaceDN w:val="0"/>
              <w:spacing w:line="280" w:lineRule="exact"/>
              <w:jc w:val="center"/>
              <w:rPr>
                <w:rFonts w:ascii="Times New Roman" w:hAnsi="Times New Roman" w:eastAsia="仿宋_GB2312"/>
                <w:color w:val="auto"/>
                <w:szCs w:val="21"/>
              </w:rPr>
            </w:pPr>
            <w:r>
              <w:rPr>
                <w:rFonts w:hint="eastAsia" w:ascii="Times New Roman" w:hAnsi="Times New Roman" w:eastAsia="仿宋_GB2312"/>
                <w:color w:val="auto"/>
                <w:szCs w:val="21"/>
              </w:rPr>
              <w:t>苏州市相城区住房和城乡建设局</w:t>
            </w:r>
          </w:p>
        </w:tc>
        <w:tc>
          <w:tcPr>
            <w:tcW w:w="872" w:type="dxa"/>
            <w:vMerge w:val="restart"/>
            <w:tcBorders>
              <w:top w:val="single" w:color="auto" w:sz="4" w:space="0"/>
              <w:left w:val="single" w:color="auto" w:sz="4" w:space="0"/>
              <w:right w:val="single" w:color="auto" w:sz="4" w:space="0"/>
            </w:tcBorders>
            <w:shd w:val="clear" w:color="auto" w:fill="auto"/>
            <w:vAlign w:val="center"/>
          </w:tcPr>
          <w:p w14:paraId="3B5F991D">
            <w:pPr>
              <w:widowControl/>
              <w:autoSpaceDE w:val="0"/>
              <w:autoSpaceDN w:val="0"/>
              <w:spacing w:line="280" w:lineRule="exact"/>
              <w:jc w:val="left"/>
              <w:rPr>
                <w:rFonts w:ascii="Times New Roman" w:hAnsi="Times New Roman" w:eastAsia="仿宋_GB2312"/>
                <w:color w:val="auto"/>
                <w:szCs w:val="21"/>
              </w:rPr>
            </w:pPr>
            <w:r>
              <w:rPr>
                <w:rFonts w:hint="eastAsia" w:ascii="Times New Roman" w:hAnsi="Times New Roman" w:eastAsia="仿宋_GB2312"/>
                <w:color w:val="auto"/>
                <w:szCs w:val="21"/>
              </w:rPr>
              <w:t>相城区招投标管理服务中心</w:t>
            </w:r>
          </w:p>
        </w:tc>
        <w:tc>
          <w:tcPr>
            <w:tcW w:w="869" w:type="dxa"/>
            <w:vMerge w:val="restart"/>
            <w:tcBorders>
              <w:top w:val="single" w:color="auto" w:sz="4" w:space="0"/>
              <w:left w:val="single" w:color="auto" w:sz="4" w:space="0"/>
              <w:right w:val="single" w:color="auto" w:sz="4" w:space="0"/>
            </w:tcBorders>
            <w:shd w:val="clear" w:color="auto" w:fill="auto"/>
            <w:vAlign w:val="center"/>
          </w:tcPr>
          <w:p w14:paraId="64D6CCFF">
            <w:pPr>
              <w:widowControl/>
              <w:autoSpaceDE w:val="0"/>
              <w:autoSpaceDN w:val="0"/>
              <w:spacing w:line="280" w:lineRule="exact"/>
              <w:jc w:val="left"/>
              <w:rPr>
                <w:rFonts w:ascii="Times New Roman" w:hAnsi="Times New Roman" w:eastAsia="仿宋_GB2312"/>
                <w:color w:val="auto"/>
                <w:szCs w:val="21"/>
              </w:rPr>
            </w:pPr>
            <w:r>
              <w:rPr>
                <w:rFonts w:hint="eastAsia" w:ascii="Times New Roman" w:hAnsi="Times New Roman" w:eastAsia="仿宋_GB2312"/>
                <w:color w:val="auto"/>
                <w:szCs w:val="21"/>
              </w:rPr>
              <w:t>招标人、招标代理机构、投标人、中标人、评标委员会</w:t>
            </w:r>
          </w:p>
        </w:tc>
        <w:tc>
          <w:tcPr>
            <w:tcW w:w="4962" w:type="dxa"/>
            <w:vMerge w:val="restart"/>
            <w:tcBorders>
              <w:top w:val="single" w:color="auto" w:sz="4" w:space="0"/>
              <w:left w:val="single" w:color="auto" w:sz="4" w:space="0"/>
              <w:right w:val="single" w:color="auto" w:sz="4" w:space="0"/>
            </w:tcBorders>
            <w:shd w:val="clear" w:color="auto" w:fill="auto"/>
            <w:vAlign w:val="center"/>
          </w:tcPr>
          <w:p w14:paraId="4F66EE90">
            <w:pPr>
              <w:widowControl/>
              <w:autoSpaceDE w:val="0"/>
              <w:autoSpaceDN w:val="0"/>
              <w:spacing w:line="280" w:lineRule="exact"/>
              <w:jc w:val="left"/>
              <w:rPr>
                <w:rFonts w:ascii="Times New Roman" w:hAnsi="Times New Roman" w:eastAsia="仿宋_GB2312"/>
                <w:color w:val="auto"/>
                <w:szCs w:val="21"/>
              </w:rPr>
            </w:pPr>
            <w:r>
              <w:rPr>
                <w:rFonts w:hint="eastAsia" w:ascii="Times New Roman" w:hAnsi="Times New Roman" w:eastAsia="仿宋_GB2312"/>
                <w:color w:val="auto"/>
                <w:szCs w:val="21"/>
              </w:rPr>
              <w:t>【</w:t>
            </w:r>
            <w:r>
              <w:rPr>
                <w:rFonts w:hint="eastAsia" w:ascii="Times New Roman" w:hAnsi="Times New Roman" w:eastAsia="仿宋_GB2312"/>
                <w:color w:val="auto"/>
                <w:szCs w:val="21"/>
                <w:lang w:val="en-US" w:eastAsia="zh-CN"/>
              </w:rPr>
              <w:t>法律</w:t>
            </w:r>
            <w:r>
              <w:rPr>
                <w:rFonts w:hint="eastAsia" w:ascii="Times New Roman" w:hAnsi="Times New Roman" w:eastAsia="仿宋_GB2312"/>
                <w:color w:val="auto"/>
                <w:szCs w:val="21"/>
              </w:rPr>
              <w:t>】《中华人民共和国招标投标法》</w:t>
            </w:r>
          </w:p>
          <w:p w14:paraId="562141F9">
            <w:pPr>
              <w:widowControl/>
              <w:autoSpaceDE w:val="0"/>
              <w:autoSpaceDN w:val="0"/>
              <w:spacing w:line="280" w:lineRule="exact"/>
              <w:jc w:val="left"/>
              <w:rPr>
                <w:rFonts w:ascii="Times New Roman" w:hAnsi="Times New Roman" w:eastAsia="仿宋_GB2312"/>
                <w:color w:val="auto"/>
                <w:szCs w:val="21"/>
              </w:rPr>
            </w:pPr>
            <w:r>
              <w:rPr>
                <w:rFonts w:hint="eastAsia" w:ascii="Times New Roman" w:hAnsi="Times New Roman" w:eastAsia="仿宋_GB2312"/>
                <w:color w:val="auto"/>
                <w:szCs w:val="21"/>
              </w:rPr>
              <w:t xml:space="preserve">    第七条  招标投标活动及其当事人应当接受依法实施的监督。有关行政监督部门依法对招标投标活动实施监督，依法查处招标投标活动中的违法行为。对招标投标活动的行政监督及有关部门的具体职权划分，由国务院规定。</w:t>
            </w:r>
          </w:p>
          <w:p w14:paraId="1C5C3A3F">
            <w:pPr>
              <w:widowControl/>
              <w:autoSpaceDE w:val="0"/>
              <w:autoSpaceDN w:val="0"/>
              <w:spacing w:line="280" w:lineRule="exact"/>
              <w:jc w:val="left"/>
              <w:rPr>
                <w:rFonts w:hint="eastAsia" w:ascii="Times New Roman" w:hAnsi="Times New Roman" w:eastAsia="仿宋_GB2312"/>
                <w:color w:val="auto"/>
                <w:szCs w:val="21"/>
                <w:lang w:eastAsia="zh-CN"/>
              </w:rPr>
            </w:pPr>
            <w:r>
              <w:rPr>
                <w:rFonts w:hint="eastAsia" w:ascii="Times New Roman" w:hAnsi="Times New Roman" w:eastAsia="仿宋_GB2312"/>
                <w:color w:val="auto"/>
                <w:szCs w:val="21"/>
              </w:rPr>
              <w:t>【法规】《中华人民共和国招标投标法实施条例》</w:t>
            </w:r>
          </w:p>
          <w:p w14:paraId="65A13183">
            <w:pPr>
              <w:widowControl/>
              <w:autoSpaceDE w:val="0"/>
              <w:autoSpaceDN w:val="0"/>
              <w:spacing w:line="280" w:lineRule="exact"/>
              <w:jc w:val="left"/>
              <w:rPr>
                <w:rFonts w:ascii="Times New Roman" w:hAnsi="Times New Roman" w:eastAsia="仿宋_GB2312"/>
                <w:color w:val="auto"/>
                <w:szCs w:val="21"/>
              </w:rPr>
            </w:pPr>
            <w:r>
              <w:rPr>
                <w:rFonts w:hint="eastAsia" w:ascii="Times New Roman" w:hAnsi="Times New Roman" w:eastAsia="仿宋_GB2312"/>
                <w:color w:val="auto"/>
                <w:szCs w:val="21"/>
              </w:rPr>
              <w:t xml:space="preserve">    第四条  国务院发展改革部门指导和协调全国招标投标工作，对国家重大建设项目的工程招标投标活动实施监督检查。国务院工业和信息化、住房城乡建设、交通运输、铁道、水利、商务等部门，按照规定的职责分工对有关招标投标活动实施监督。县级以上地方人民政府发展改革部门指导和协调本行政区域的招标投标工作。县级以上地方人民政府有关部门按照规定的职责分工，对招标投标活动实施监督，依法查处招标投标活动中的违法行为。县级以上地方人民政府对其所属部门有关招标投标活动的监督职责分工另有规定的，从其规定。</w:t>
            </w:r>
          </w:p>
          <w:p w14:paraId="24D72644">
            <w:pPr>
              <w:widowControl/>
              <w:autoSpaceDE w:val="0"/>
              <w:autoSpaceDN w:val="0"/>
              <w:spacing w:line="280" w:lineRule="exact"/>
              <w:ind w:firstLine="420" w:firstLineChars="200"/>
              <w:jc w:val="left"/>
              <w:rPr>
                <w:rFonts w:ascii="Times New Roman" w:hAnsi="Times New Roman" w:eastAsia="仿宋_GB2312"/>
                <w:color w:val="auto"/>
                <w:szCs w:val="21"/>
              </w:rPr>
            </w:pPr>
            <w:r>
              <w:rPr>
                <w:rFonts w:hint="eastAsia" w:ascii="Times New Roman" w:hAnsi="Times New Roman" w:eastAsia="仿宋_GB2312"/>
                <w:color w:val="auto"/>
                <w:szCs w:val="21"/>
              </w:rPr>
              <w:t>第十一条  国务院住房城乡建设、商务、发展改革、工业和信息化等部门，按照规定的职责分工对招标代理机构依法实施监督管理。</w:t>
            </w:r>
          </w:p>
          <w:p w14:paraId="6D7AA7F6">
            <w:pPr>
              <w:widowControl/>
              <w:autoSpaceDE w:val="0"/>
              <w:autoSpaceDN w:val="0"/>
              <w:spacing w:line="280" w:lineRule="exact"/>
              <w:jc w:val="left"/>
              <w:rPr>
                <w:rFonts w:hint="eastAsia" w:ascii="Times New Roman" w:hAnsi="Times New Roman" w:eastAsia="仿宋_GB2312"/>
                <w:color w:val="auto"/>
                <w:szCs w:val="21"/>
                <w:lang w:eastAsia="zh-CN"/>
              </w:rPr>
            </w:pPr>
            <w:r>
              <w:rPr>
                <w:rFonts w:hint="eastAsia" w:ascii="Times New Roman" w:hAnsi="Times New Roman" w:eastAsia="仿宋_GB2312"/>
                <w:color w:val="auto"/>
                <w:szCs w:val="21"/>
              </w:rPr>
              <w:t xml:space="preserve">【文件】《住房城乡建设部办公厅关于取消工程建设项目招标代理机构资格认定加强事中事后监管的通知》 </w:t>
            </w:r>
          </w:p>
          <w:p w14:paraId="68D4BC44">
            <w:pPr>
              <w:widowControl/>
              <w:autoSpaceDE w:val="0"/>
              <w:autoSpaceDN w:val="0"/>
              <w:spacing w:line="280" w:lineRule="exact"/>
              <w:jc w:val="left"/>
              <w:rPr>
                <w:rFonts w:ascii="Times New Roman" w:hAnsi="Times New Roman" w:eastAsia="仿宋_GB2312"/>
                <w:color w:val="auto"/>
                <w:szCs w:val="21"/>
              </w:rPr>
            </w:pPr>
            <w:r>
              <w:rPr>
                <w:rFonts w:hint="eastAsia" w:ascii="Times New Roman" w:hAnsi="Times New Roman" w:eastAsia="仿宋_GB2312"/>
                <w:color w:val="auto"/>
                <w:szCs w:val="21"/>
              </w:rPr>
              <w:t xml:space="preserve">    各级住房城乡建设主管部门要高度重视招标代理机构资格认定取消后的事中事后监管工作，完善工作机制，创新监管手段，加强工程建设项目招标投标活动监管，依法严肃查处违法违规行为，促进招投标活动有序开展。</w:t>
            </w:r>
          </w:p>
        </w:tc>
        <w:tc>
          <w:tcPr>
            <w:tcW w:w="992" w:type="dxa"/>
            <w:vMerge w:val="restart"/>
            <w:tcBorders>
              <w:top w:val="single" w:color="auto" w:sz="4" w:space="0"/>
              <w:left w:val="single" w:color="auto" w:sz="4" w:space="0"/>
              <w:right w:val="single" w:color="auto" w:sz="4" w:space="0"/>
            </w:tcBorders>
            <w:shd w:val="clear" w:color="auto" w:fill="auto"/>
            <w:vAlign w:val="center"/>
          </w:tcPr>
          <w:p w14:paraId="695D2724">
            <w:pPr>
              <w:widowControl/>
              <w:autoSpaceDE w:val="0"/>
              <w:autoSpaceDN w:val="0"/>
              <w:spacing w:line="280" w:lineRule="exact"/>
              <w:jc w:val="center"/>
              <w:rPr>
                <w:rFonts w:ascii="Times New Roman" w:hAnsi="Times New Roman" w:eastAsia="仿宋_GB2312"/>
                <w:color w:val="auto"/>
                <w:szCs w:val="21"/>
              </w:rPr>
            </w:pPr>
            <w:r>
              <w:rPr>
                <w:rFonts w:hint="eastAsia" w:ascii="Times New Roman" w:hAnsi="Times New Roman" w:eastAsia="仿宋_GB2312"/>
                <w:color w:val="auto"/>
                <w:szCs w:val="21"/>
              </w:rPr>
              <w:t>现场</w:t>
            </w:r>
          </w:p>
          <w:p w14:paraId="25DA8D9C">
            <w:pPr>
              <w:widowControl/>
              <w:autoSpaceDE w:val="0"/>
              <w:autoSpaceDN w:val="0"/>
              <w:spacing w:line="280" w:lineRule="exact"/>
              <w:jc w:val="center"/>
              <w:rPr>
                <w:rFonts w:ascii="Times New Roman" w:hAnsi="Times New Roman" w:eastAsia="仿宋_GB2312"/>
                <w:color w:val="auto"/>
                <w:szCs w:val="21"/>
              </w:rPr>
            </w:pPr>
            <w:r>
              <w:rPr>
                <w:rFonts w:hint="eastAsia" w:ascii="Times New Roman" w:hAnsi="Times New Roman" w:eastAsia="仿宋_GB2312"/>
                <w:color w:val="auto"/>
                <w:szCs w:val="21"/>
              </w:rPr>
              <w:t>检查</w:t>
            </w:r>
          </w:p>
        </w:tc>
        <w:tc>
          <w:tcPr>
            <w:tcW w:w="1139" w:type="dxa"/>
            <w:vMerge w:val="restart"/>
            <w:tcBorders>
              <w:top w:val="single" w:color="auto" w:sz="4" w:space="0"/>
              <w:left w:val="single" w:color="auto" w:sz="4" w:space="0"/>
              <w:right w:val="single" w:color="auto" w:sz="4" w:space="0"/>
            </w:tcBorders>
            <w:shd w:val="clear" w:color="auto" w:fill="auto"/>
            <w:vAlign w:val="center"/>
          </w:tcPr>
          <w:p w14:paraId="6335D298">
            <w:pPr>
              <w:widowControl/>
              <w:autoSpaceDE w:val="0"/>
              <w:autoSpaceDN w:val="0"/>
              <w:spacing w:line="280" w:lineRule="exact"/>
              <w:jc w:val="center"/>
              <w:rPr>
                <w:rFonts w:ascii="Times New Roman" w:hAnsi="Times New Roman" w:eastAsia="仿宋_GB2312"/>
                <w:color w:val="auto"/>
                <w:szCs w:val="21"/>
              </w:rPr>
            </w:pPr>
            <w:r>
              <w:rPr>
                <w:rFonts w:hint="eastAsia" w:ascii="Times New Roman" w:hAnsi="Times New Roman" w:eastAsia="仿宋_GB2312"/>
                <w:color w:val="auto"/>
                <w:szCs w:val="21"/>
              </w:rPr>
              <w:t>双随机检查，不少于总标段数的5%且不少于10个标段；</w:t>
            </w:r>
          </w:p>
          <w:p w14:paraId="52F63741">
            <w:pPr>
              <w:widowControl/>
              <w:autoSpaceDE w:val="0"/>
              <w:autoSpaceDN w:val="0"/>
              <w:spacing w:line="280" w:lineRule="exact"/>
              <w:jc w:val="center"/>
              <w:rPr>
                <w:rFonts w:ascii="Times New Roman" w:hAnsi="Times New Roman" w:eastAsia="仿宋_GB2312"/>
                <w:color w:val="auto"/>
                <w:szCs w:val="21"/>
              </w:rPr>
            </w:pPr>
            <w:r>
              <w:rPr>
                <w:rFonts w:hint="eastAsia" w:ascii="Times New Roman" w:hAnsi="Times New Roman" w:eastAsia="仿宋_GB2312"/>
                <w:color w:val="auto"/>
                <w:szCs w:val="21"/>
              </w:rPr>
              <w:t>对招标代理机构的行政检查与招投标检查合并进行</w:t>
            </w:r>
          </w:p>
        </w:tc>
        <w:tc>
          <w:tcPr>
            <w:tcW w:w="1491" w:type="dxa"/>
            <w:tcBorders>
              <w:top w:val="single" w:color="auto" w:sz="4" w:space="0"/>
              <w:left w:val="single" w:color="auto" w:sz="4" w:space="0"/>
              <w:bottom w:val="single" w:color="auto" w:sz="4" w:space="0"/>
              <w:right w:val="single" w:color="auto" w:sz="4" w:space="0"/>
            </w:tcBorders>
            <w:shd w:val="clear" w:color="auto" w:fill="auto"/>
            <w:vAlign w:val="center"/>
          </w:tcPr>
          <w:p w14:paraId="0DA9994C">
            <w:pPr>
              <w:widowControl/>
              <w:autoSpaceDE w:val="0"/>
              <w:autoSpaceDN w:val="0"/>
              <w:spacing w:line="280" w:lineRule="exact"/>
              <w:jc w:val="center"/>
              <w:rPr>
                <w:rFonts w:ascii="Times New Roman" w:hAnsi="Times New Roman" w:eastAsia="仿宋_GB2312"/>
                <w:color w:val="auto"/>
                <w:szCs w:val="21"/>
              </w:rPr>
            </w:pPr>
            <w:r>
              <w:rPr>
                <w:rFonts w:hint="eastAsia" w:ascii="Times New Roman" w:hAnsi="Times New Roman" w:eastAsia="仿宋_GB2312"/>
                <w:color w:val="auto"/>
                <w:szCs w:val="21"/>
              </w:rPr>
              <w:t>320217550000</w:t>
            </w:r>
          </w:p>
        </w:tc>
        <w:tc>
          <w:tcPr>
            <w:tcW w:w="1481" w:type="dxa"/>
            <w:tcBorders>
              <w:top w:val="single" w:color="auto" w:sz="4" w:space="0"/>
              <w:left w:val="single" w:color="auto" w:sz="4" w:space="0"/>
              <w:bottom w:val="single" w:color="auto" w:sz="4" w:space="0"/>
              <w:right w:val="single" w:color="auto" w:sz="4" w:space="0"/>
            </w:tcBorders>
            <w:shd w:val="clear" w:color="auto" w:fill="auto"/>
            <w:vAlign w:val="center"/>
          </w:tcPr>
          <w:p w14:paraId="7AB7ADEE">
            <w:pPr>
              <w:widowControl/>
              <w:autoSpaceDE w:val="0"/>
              <w:autoSpaceDN w:val="0"/>
              <w:spacing w:line="280" w:lineRule="exact"/>
              <w:rPr>
                <w:rFonts w:ascii="Times New Roman" w:hAnsi="Times New Roman" w:eastAsia="仿宋_GB2312"/>
                <w:color w:val="auto"/>
                <w:szCs w:val="21"/>
              </w:rPr>
            </w:pPr>
            <w:r>
              <w:rPr>
                <w:rFonts w:hint="eastAsia" w:ascii="Times New Roman" w:hAnsi="Times New Roman" w:eastAsia="仿宋_GB2312"/>
                <w:color w:val="auto"/>
                <w:szCs w:val="21"/>
              </w:rPr>
              <w:t>对招标人超过本条例规定的比例收取投标保证金、履约保证金或者不按照规定退还投标保证金及银行同期存款利息的处罚</w:t>
            </w:r>
          </w:p>
        </w:tc>
        <w:tc>
          <w:tcPr>
            <w:tcW w:w="622" w:type="dxa"/>
            <w:tcBorders>
              <w:top w:val="single" w:color="auto" w:sz="4" w:space="0"/>
              <w:left w:val="single" w:color="auto" w:sz="4" w:space="0"/>
              <w:right w:val="single" w:color="auto" w:sz="4" w:space="0"/>
            </w:tcBorders>
            <w:shd w:val="clear" w:color="auto" w:fill="auto"/>
            <w:vAlign w:val="center"/>
          </w:tcPr>
          <w:p w14:paraId="196290A3">
            <w:pPr>
              <w:spacing w:line="280" w:lineRule="exact"/>
              <w:jc w:val="center"/>
              <w:rPr>
                <w:rFonts w:ascii="Times New Roman" w:hAnsi="Times New Roman" w:eastAsia="仿宋_GB2312"/>
                <w:color w:val="auto"/>
                <w:kern w:val="0"/>
                <w:szCs w:val="21"/>
              </w:rPr>
            </w:pPr>
          </w:p>
        </w:tc>
      </w:tr>
      <w:tr w14:paraId="1E6AC6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31" w:hRule="atLeast"/>
          <w:jc w:val="center"/>
        </w:trPr>
        <w:tc>
          <w:tcPr>
            <w:tcW w:w="536" w:type="dxa"/>
            <w:vMerge w:val="continue"/>
            <w:tcBorders>
              <w:left w:val="single" w:color="auto" w:sz="4" w:space="0"/>
              <w:right w:val="single" w:color="auto" w:sz="4" w:space="0"/>
            </w:tcBorders>
            <w:shd w:val="clear" w:color="auto" w:fill="auto"/>
            <w:vAlign w:val="center"/>
          </w:tcPr>
          <w:p w14:paraId="5A8B5AB6">
            <w:pPr>
              <w:widowControl/>
              <w:autoSpaceDE w:val="0"/>
              <w:autoSpaceDN w:val="0"/>
              <w:spacing w:line="280" w:lineRule="exact"/>
              <w:jc w:val="left"/>
              <w:rPr>
                <w:rFonts w:ascii="Times New Roman" w:hAnsi="Times New Roman" w:eastAsia="仿宋_GB2312"/>
                <w:color w:val="auto"/>
                <w:szCs w:val="21"/>
              </w:rPr>
            </w:pPr>
          </w:p>
        </w:tc>
        <w:tc>
          <w:tcPr>
            <w:tcW w:w="1324" w:type="dxa"/>
            <w:vMerge w:val="continue"/>
            <w:tcBorders>
              <w:left w:val="single" w:color="auto" w:sz="4" w:space="0"/>
              <w:right w:val="single" w:color="auto" w:sz="4" w:space="0"/>
            </w:tcBorders>
            <w:shd w:val="clear" w:color="auto" w:fill="auto"/>
            <w:vAlign w:val="center"/>
          </w:tcPr>
          <w:p w14:paraId="38FFCA83">
            <w:pPr>
              <w:widowControl/>
              <w:autoSpaceDE w:val="0"/>
              <w:autoSpaceDN w:val="0"/>
              <w:spacing w:line="280" w:lineRule="exact"/>
              <w:jc w:val="left"/>
              <w:rPr>
                <w:rFonts w:ascii="Times New Roman" w:hAnsi="Times New Roman" w:eastAsia="仿宋_GB2312"/>
                <w:color w:val="auto"/>
                <w:szCs w:val="21"/>
              </w:rPr>
            </w:pPr>
          </w:p>
        </w:tc>
        <w:tc>
          <w:tcPr>
            <w:tcW w:w="794" w:type="dxa"/>
            <w:vMerge w:val="continue"/>
            <w:tcBorders>
              <w:left w:val="single" w:color="auto" w:sz="4" w:space="0"/>
              <w:right w:val="single" w:color="auto" w:sz="4" w:space="0"/>
            </w:tcBorders>
            <w:shd w:val="clear" w:color="auto" w:fill="auto"/>
            <w:vAlign w:val="center"/>
          </w:tcPr>
          <w:p w14:paraId="1D2B8990">
            <w:pPr>
              <w:widowControl/>
              <w:autoSpaceDE w:val="0"/>
              <w:autoSpaceDN w:val="0"/>
              <w:spacing w:line="280" w:lineRule="exact"/>
              <w:jc w:val="left"/>
              <w:rPr>
                <w:rFonts w:ascii="Times New Roman" w:hAnsi="Times New Roman" w:eastAsia="仿宋_GB2312"/>
                <w:color w:val="auto"/>
                <w:szCs w:val="21"/>
              </w:rPr>
            </w:pPr>
          </w:p>
        </w:tc>
        <w:tc>
          <w:tcPr>
            <w:tcW w:w="872" w:type="dxa"/>
            <w:vMerge w:val="continue"/>
            <w:tcBorders>
              <w:left w:val="single" w:color="auto" w:sz="4" w:space="0"/>
              <w:right w:val="single" w:color="auto" w:sz="4" w:space="0"/>
            </w:tcBorders>
            <w:shd w:val="clear" w:color="auto" w:fill="auto"/>
            <w:vAlign w:val="center"/>
          </w:tcPr>
          <w:p w14:paraId="206F136F">
            <w:pPr>
              <w:widowControl/>
              <w:autoSpaceDE w:val="0"/>
              <w:autoSpaceDN w:val="0"/>
              <w:spacing w:line="280" w:lineRule="exact"/>
              <w:jc w:val="left"/>
              <w:rPr>
                <w:rFonts w:ascii="Times New Roman" w:hAnsi="Times New Roman" w:eastAsia="仿宋_GB2312"/>
                <w:color w:val="auto"/>
                <w:szCs w:val="21"/>
              </w:rPr>
            </w:pPr>
          </w:p>
        </w:tc>
        <w:tc>
          <w:tcPr>
            <w:tcW w:w="869" w:type="dxa"/>
            <w:vMerge w:val="continue"/>
            <w:tcBorders>
              <w:left w:val="single" w:color="auto" w:sz="4" w:space="0"/>
              <w:right w:val="single" w:color="auto" w:sz="4" w:space="0"/>
            </w:tcBorders>
            <w:shd w:val="clear" w:color="auto" w:fill="auto"/>
            <w:vAlign w:val="center"/>
          </w:tcPr>
          <w:p w14:paraId="3C4B92DE">
            <w:pPr>
              <w:widowControl/>
              <w:autoSpaceDE w:val="0"/>
              <w:autoSpaceDN w:val="0"/>
              <w:spacing w:line="280" w:lineRule="exact"/>
              <w:jc w:val="left"/>
              <w:rPr>
                <w:rFonts w:ascii="Times New Roman" w:hAnsi="Times New Roman" w:eastAsia="仿宋_GB2312"/>
                <w:color w:val="auto"/>
                <w:szCs w:val="21"/>
              </w:rPr>
            </w:pPr>
          </w:p>
        </w:tc>
        <w:tc>
          <w:tcPr>
            <w:tcW w:w="4962" w:type="dxa"/>
            <w:vMerge w:val="continue"/>
            <w:tcBorders>
              <w:left w:val="single" w:color="auto" w:sz="4" w:space="0"/>
              <w:right w:val="single" w:color="auto" w:sz="4" w:space="0"/>
            </w:tcBorders>
            <w:shd w:val="clear" w:color="auto" w:fill="auto"/>
            <w:vAlign w:val="center"/>
          </w:tcPr>
          <w:p w14:paraId="7897B6C0">
            <w:pPr>
              <w:widowControl/>
              <w:autoSpaceDE w:val="0"/>
              <w:autoSpaceDN w:val="0"/>
              <w:spacing w:line="280" w:lineRule="exact"/>
              <w:jc w:val="left"/>
              <w:rPr>
                <w:rFonts w:ascii="Times New Roman" w:hAnsi="Times New Roman" w:eastAsia="仿宋_GB2312"/>
                <w:color w:val="auto"/>
                <w:szCs w:val="21"/>
              </w:rPr>
            </w:pPr>
          </w:p>
        </w:tc>
        <w:tc>
          <w:tcPr>
            <w:tcW w:w="992" w:type="dxa"/>
            <w:vMerge w:val="continue"/>
            <w:tcBorders>
              <w:left w:val="single" w:color="auto" w:sz="4" w:space="0"/>
              <w:right w:val="single" w:color="auto" w:sz="4" w:space="0"/>
            </w:tcBorders>
            <w:shd w:val="clear" w:color="auto" w:fill="auto"/>
            <w:vAlign w:val="center"/>
          </w:tcPr>
          <w:p w14:paraId="7F3926ED">
            <w:pPr>
              <w:widowControl/>
              <w:autoSpaceDE w:val="0"/>
              <w:autoSpaceDN w:val="0"/>
              <w:spacing w:line="280" w:lineRule="exact"/>
              <w:jc w:val="left"/>
              <w:rPr>
                <w:rFonts w:ascii="Times New Roman" w:hAnsi="Times New Roman" w:eastAsia="仿宋_GB2312"/>
                <w:color w:val="auto"/>
                <w:szCs w:val="21"/>
              </w:rPr>
            </w:pPr>
          </w:p>
        </w:tc>
        <w:tc>
          <w:tcPr>
            <w:tcW w:w="1139" w:type="dxa"/>
            <w:vMerge w:val="continue"/>
            <w:tcBorders>
              <w:left w:val="single" w:color="auto" w:sz="4" w:space="0"/>
              <w:right w:val="single" w:color="auto" w:sz="4" w:space="0"/>
            </w:tcBorders>
            <w:shd w:val="clear" w:color="auto" w:fill="auto"/>
            <w:vAlign w:val="center"/>
          </w:tcPr>
          <w:p w14:paraId="6D75B2E3">
            <w:pPr>
              <w:widowControl/>
              <w:autoSpaceDE w:val="0"/>
              <w:autoSpaceDN w:val="0"/>
              <w:spacing w:line="280" w:lineRule="exact"/>
              <w:jc w:val="center"/>
              <w:rPr>
                <w:rFonts w:ascii="Times New Roman" w:hAnsi="Times New Roman" w:eastAsia="仿宋_GB2312"/>
                <w:color w:val="auto"/>
                <w:szCs w:val="21"/>
              </w:rPr>
            </w:pPr>
          </w:p>
        </w:tc>
        <w:tc>
          <w:tcPr>
            <w:tcW w:w="1491" w:type="dxa"/>
            <w:tcBorders>
              <w:top w:val="single" w:color="auto" w:sz="4" w:space="0"/>
              <w:left w:val="single" w:color="auto" w:sz="4" w:space="0"/>
              <w:bottom w:val="single" w:color="auto" w:sz="4" w:space="0"/>
              <w:right w:val="single" w:color="auto" w:sz="4" w:space="0"/>
            </w:tcBorders>
            <w:shd w:val="clear" w:color="auto" w:fill="auto"/>
            <w:vAlign w:val="center"/>
          </w:tcPr>
          <w:p w14:paraId="241DAA01">
            <w:pPr>
              <w:widowControl/>
              <w:autoSpaceDE w:val="0"/>
              <w:autoSpaceDN w:val="0"/>
              <w:spacing w:line="280" w:lineRule="exact"/>
              <w:jc w:val="center"/>
              <w:rPr>
                <w:rFonts w:ascii="Times New Roman" w:hAnsi="Times New Roman" w:eastAsia="仿宋_GB2312"/>
                <w:color w:val="auto"/>
                <w:szCs w:val="21"/>
              </w:rPr>
            </w:pPr>
            <w:r>
              <w:rPr>
                <w:rFonts w:hint="eastAsia" w:ascii="Times New Roman" w:hAnsi="Times New Roman" w:eastAsia="仿宋_GB2312"/>
                <w:color w:val="auto"/>
                <w:szCs w:val="21"/>
              </w:rPr>
              <w:t>320217549000</w:t>
            </w:r>
          </w:p>
        </w:tc>
        <w:tc>
          <w:tcPr>
            <w:tcW w:w="1481" w:type="dxa"/>
            <w:tcBorders>
              <w:top w:val="single" w:color="auto" w:sz="4" w:space="0"/>
              <w:left w:val="single" w:color="auto" w:sz="4" w:space="0"/>
              <w:bottom w:val="single" w:color="auto" w:sz="4" w:space="0"/>
              <w:right w:val="single" w:color="auto" w:sz="4" w:space="0"/>
            </w:tcBorders>
            <w:shd w:val="clear" w:color="auto" w:fill="auto"/>
            <w:vAlign w:val="center"/>
          </w:tcPr>
          <w:p w14:paraId="736ACF72">
            <w:pPr>
              <w:widowControl/>
              <w:autoSpaceDE w:val="0"/>
              <w:autoSpaceDN w:val="0"/>
              <w:spacing w:line="280" w:lineRule="exact"/>
              <w:rPr>
                <w:rFonts w:ascii="Times New Roman" w:hAnsi="Times New Roman" w:eastAsia="仿宋_GB2312"/>
                <w:color w:val="auto"/>
                <w:szCs w:val="21"/>
              </w:rPr>
            </w:pPr>
            <w:r>
              <w:rPr>
                <w:rFonts w:hint="eastAsia" w:ascii="Times New Roman" w:hAnsi="Times New Roman" w:eastAsia="仿宋_GB2312"/>
                <w:color w:val="auto"/>
                <w:szCs w:val="21"/>
              </w:rPr>
              <w:t>对政府投资项目的招标人或其委托的招标代理机构不从依法组建的评标专家库中抽取专家的处罚</w:t>
            </w:r>
          </w:p>
        </w:tc>
        <w:tc>
          <w:tcPr>
            <w:tcW w:w="622" w:type="dxa"/>
            <w:tcBorders>
              <w:left w:val="single" w:color="auto" w:sz="4" w:space="0"/>
              <w:right w:val="single" w:color="auto" w:sz="4" w:space="0"/>
            </w:tcBorders>
            <w:shd w:val="clear" w:color="auto" w:fill="auto"/>
            <w:vAlign w:val="center"/>
          </w:tcPr>
          <w:p w14:paraId="2565E751">
            <w:pPr>
              <w:spacing w:line="280" w:lineRule="exact"/>
              <w:rPr>
                <w:rFonts w:ascii="Times New Roman" w:hAnsi="Times New Roman" w:eastAsia="仿宋_GB2312"/>
                <w:color w:val="auto"/>
                <w:kern w:val="0"/>
                <w:szCs w:val="21"/>
              </w:rPr>
            </w:pPr>
          </w:p>
        </w:tc>
      </w:tr>
      <w:tr w14:paraId="2E1CB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6" w:type="dxa"/>
            <w:vMerge w:val="continue"/>
            <w:tcBorders>
              <w:left w:val="single" w:color="auto" w:sz="4" w:space="0"/>
              <w:bottom w:val="single" w:color="auto" w:sz="4" w:space="0"/>
              <w:right w:val="single" w:color="auto" w:sz="4" w:space="0"/>
            </w:tcBorders>
            <w:shd w:val="clear" w:color="auto" w:fill="auto"/>
            <w:vAlign w:val="center"/>
          </w:tcPr>
          <w:p w14:paraId="02E6391D">
            <w:pPr>
              <w:widowControl/>
              <w:autoSpaceDE w:val="0"/>
              <w:autoSpaceDN w:val="0"/>
              <w:spacing w:line="280" w:lineRule="exact"/>
              <w:jc w:val="left"/>
              <w:rPr>
                <w:rFonts w:ascii="Times New Roman" w:hAnsi="Times New Roman" w:eastAsia="仿宋_GB2312"/>
                <w:color w:val="auto"/>
                <w:szCs w:val="21"/>
              </w:rPr>
            </w:pPr>
          </w:p>
        </w:tc>
        <w:tc>
          <w:tcPr>
            <w:tcW w:w="1324" w:type="dxa"/>
            <w:vMerge w:val="continue"/>
            <w:tcBorders>
              <w:left w:val="single" w:color="auto" w:sz="4" w:space="0"/>
              <w:bottom w:val="single" w:color="auto" w:sz="4" w:space="0"/>
              <w:right w:val="single" w:color="auto" w:sz="4" w:space="0"/>
            </w:tcBorders>
            <w:shd w:val="clear" w:color="auto" w:fill="auto"/>
            <w:vAlign w:val="center"/>
          </w:tcPr>
          <w:p w14:paraId="141783F4">
            <w:pPr>
              <w:widowControl/>
              <w:autoSpaceDE w:val="0"/>
              <w:autoSpaceDN w:val="0"/>
              <w:spacing w:line="280" w:lineRule="exact"/>
              <w:jc w:val="left"/>
              <w:rPr>
                <w:rFonts w:ascii="Times New Roman" w:hAnsi="Times New Roman" w:eastAsia="仿宋_GB2312"/>
                <w:color w:val="auto"/>
                <w:szCs w:val="21"/>
              </w:rPr>
            </w:pPr>
          </w:p>
        </w:tc>
        <w:tc>
          <w:tcPr>
            <w:tcW w:w="794" w:type="dxa"/>
            <w:vMerge w:val="continue"/>
            <w:tcBorders>
              <w:left w:val="single" w:color="auto" w:sz="4" w:space="0"/>
              <w:bottom w:val="single" w:color="auto" w:sz="4" w:space="0"/>
              <w:right w:val="single" w:color="auto" w:sz="4" w:space="0"/>
            </w:tcBorders>
            <w:shd w:val="clear" w:color="auto" w:fill="auto"/>
            <w:vAlign w:val="center"/>
          </w:tcPr>
          <w:p w14:paraId="66FEE5E9">
            <w:pPr>
              <w:widowControl/>
              <w:autoSpaceDE w:val="0"/>
              <w:autoSpaceDN w:val="0"/>
              <w:spacing w:line="280" w:lineRule="exact"/>
              <w:jc w:val="left"/>
              <w:rPr>
                <w:rFonts w:ascii="Times New Roman" w:hAnsi="Times New Roman" w:eastAsia="仿宋_GB2312"/>
                <w:color w:val="auto"/>
                <w:szCs w:val="21"/>
              </w:rPr>
            </w:pPr>
          </w:p>
        </w:tc>
        <w:tc>
          <w:tcPr>
            <w:tcW w:w="872" w:type="dxa"/>
            <w:vMerge w:val="continue"/>
            <w:tcBorders>
              <w:left w:val="single" w:color="auto" w:sz="4" w:space="0"/>
              <w:bottom w:val="single" w:color="auto" w:sz="4" w:space="0"/>
              <w:right w:val="single" w:color="auto" w:sz="4" w:space="0"/>
            </w:tcBorders>
            <w:shd w:val="clear" w:color="auto" w:fill="auto"/>
            <w:vAlign w:val="center"/>
          </w:tcPr>
          <w:p w14:paraId="55C7F14D">
            <w:pPr>
              <w:widowControl/>
              <w:autoSpaceDE w:val="0"/>
              <w:autoSpaceDN w:val="0"/>
              <w:spacing w:line="280" w:lineRule="exact"/>
              <w:jc w:val="left"/>
              <w:rPr>
                <w:rFonts w:ascii="Times New Roman" w:hAnsi="Times New Roman" w:eastAsia="仿宋_GB2312"/>
                <w:color w:val="auto"/>
                <w:szCs w:val="21"/>
              </w:rPr>
            </w:pPr>
          </w:p>
        </w:tc>
        <w:tc>
          <w:tcPr>
            <w:tcW w:w="869" w:type="dxa"/>
            <w:vMerge w:val="continue"/>
            <w:tcBorders>
              <w:left w:val="single" w:color="auto" w:sz="4" w:space="0"/>
              <w:bottom w:val="single" w:color="auto" w:sz="4" w:space="0"/>
              <w:right w:val="single" w:color="auto" w:sz="4" w:space="0"/>
            </w:tcBorders>
            <w:shd w:val="clear" w:color="auto" w:fill="auto"/>
            <w:vAlign w:val="center"/>
          </w:tcPr>
          <w:p w14:paraId="285B76B6">
            <w:pPr>
              <w:widowControl/>
              <w:autoSpaceDE w:val="0"/>
              <w:autoSpaceDN w:val="0"/>
              <w:spacing w:line="280" w:lineRule="exact"/>
              <w:jc w:val="left"/>
              <w:rPr>
                <w:rFonts w:ascii="Times New Roman" w:hAnsi="Times New Roman" w:eastAsia="仿宋_GB2312"/>
                <w:color w:val="auto"/>
                <w:szCs w:val="21"/>
              </w:rPr>
            </w:pPr>
          </w:p>
        </w:tc>
        <w:tc>
          <w:tcPr>
            <w:tcW w:w="4962" w:type="dxa"/>
            <w:vMerge w:val="continue"/>
            <w:tcBorders>
              <w:left w:val="single" w:color="auto" w:sz="4" w:space="0"/>
              <w:bottom w:val="single" w:color="auto" w:sz="4" w:space="0"/>
              <w:right w:val="single" w:color="auto" w:sz="4" w:space="0"/>
            </w:tcBorders>
            <w:shd w:val="clear" w:color="auto" w:fill="auto"/>
            <w:vAlign w:val="center"/>
          </w:tcPr>
          <w:p w14:paraId="2BF43327">
            <w:pPr>
              <w:widowControl/>
              <w:autoSpaceDE w:val="0"/>
              <w:autoSpaceDN w:val="0"/>
              <w:spacing w:line="280" w:lineRule="exact"/>
              <w:jc w:val="left"/>
              <w:rPr>
                <w:rFonts w:ascii="Times New Roman" w:hAnsi="Times New Roman" w:eastAsia="仿宋_GB2312"/>
                <w:color w:val="auto"/>
                <w:szCs w:val="21"/>
              </w:rPr>
            </w:pPr>
          </w:p>
        </w:tc>
        <w:tc>
          <w:tcPr>
            <w:tcW w:w="992" w:type="dxa"/>
            <w:vMerge w:val="continue"/>
            <w:tcBorders>
              <w:left w:val="single" w:color="auto" w:sz="4" w:space="0"/>
              <w:bottom w:val="single" w:color="auto" w:sz="4" w:space="0"/>
              <w:right w:val="single" w:color="auto" w:sz="4" w:space="0"/>
            </w:tcBorders>
            <w:shd w:val="clear" w:color="auto" w:fill="auto"/>
            <w:vAlign w:val="center"/>
          </w:tcPr>
          <w:p w14:paraId="54B721B9">
            <w:pPr>
              <w:widowControl/>
              <w:autoSpaceDE w:val="0"/>
              <w:autoSpaceDN w:val="0"/>
              <w:spacing w:line="280" w:lineRule="exact"/>
              <w:jc w:val="left"/>
              <w:rPr>
                <w:rFonts w:ascii="Times New Roman" w:hAnsi="Times New Roman" w:eastAsia="仿宋_GB2312"/>
                <w:color w:val="auto"/>
                <w:szCs w:val="21"/>
              </w:rPr>
            </w:pPr>
          </w:p>
        </w:tc>
        <w:tc>
          <w:tcPr>
            <w:tcW w:w="1139" w:type="dxa"/>
            <w:vMerge w:val="continue"/>
            <w:tcBorders>
              <w:left w:val="single" w:color="auto" w:sz="4" w:space="0"/>
              <w:bottom w:val="single" w:color="auto" w:sz="4" w:space="0"/>
              <w:right w:val="single" w:color="auto" w:sz="4" w:space="0"/>
            </w:tcBorders>
            <w:shd w:val="clear" w:color="auto" w:fill="auto"/>
            <w:vAlign w:val="center"/>
          </w:tcPr>
          <w:p w14:paraId="3AAF5557">
            <w:pPr>
              <w:widowControl/>
              <w:autoSpaceDE w:val="0"/>
              <w:autoSpaceDN w:val="0"/>
              <w:spacing w:line="280" w:lineRule="exact"/>
              <w:jc w:val="center"/>
              <w:rPr>
                <w:rFonts w:ascii="Times New Roman" w:hAnsi="Times New Roman" w:eastAsia="仿宋_GB2312"/>
                <w:color w:val="auto"/>
                <w:szCs w:val="21"/>
              </w:rPr>
            </w:pPr>
          </w:p>
        </w:tc>
        <w:tc>
          <w:tcPr>
            <w:tcW w:w="1491" w:type="dxa"/>
            <w:tcBorders>
              <w:top w:val="single" w:color="auto" w:sz="4" w:space="0"/>
              <w:left w:val="single" w:color="auto" w:sz="4" w:space="0"/>
              <w:bottom w:val="single" w:color="auto" w:sz="4" w:space="0"/>
              <w:right w:val="single" w:color="auto" w:sz="4" w:space="0"/>
            </w:tcBorders>
            <w:shd w:val="clear" w:color="auto" w:fill="auto"/>
            <w:vAlign w:val="center"/>
          </w:tcPr>
          <w:p w14:paraId="5415AA9D">
            <w:pPr>
              <w:widowControl/>
              <w:autoSpaceDE w:val="0"/>
              <w:autoSpaceDN w:val="0"/>
              <w:spacing w:line="280" w:lineRule="exact"/>
              <w:jc w:val="center"/>
              <w:rPr>
                <w:rFonts w:ascii="Times New Roman" w:hAnsi="Times New Roman" w:eastAsia="仿宋_GB2312"/>
                <w:color w:val="auto"/>
                <w:szCs w:val="21"/>
              </w:rPr>
            </w:pPr>
            <w:r>
              <w:rPr>
                <w:rFonts w:hint="eastAsia" w:ascii="Times New Roman" w:hAnsi="Times New Roman" w:eastAsia="仿宋_GB2312"/>
                <w:color w:val="auto"/>
                <w:szCs w:val="21"/>
              </w:rPr>
              <w:t>320217545000</w:t>
            </w:r>
          </w:p>
        </w:tc>
        <w:tc>
          <w:tcPr>
            <w:tcW w:w="1481" w:type="dxa"/>
            <w:tcBorders>
              <w:top w:val="single" w:color="auto" w:sz="4" w:space="0"/>
              <w:left w:val="single" w:color="auto" w:sz="4" w:space="0"/>
              <w:bottom w:val="single" w:color="auto" w:sz="4" w:space="0"/>
              <w:right w:val="single" w:color="auto" w:sz="4" w:space="0"/>
            </w:tcBorders>
            <w:shd w:val="clear" w:color="auto" w:fill="auto"/>
            <w:vAlign w:val="center"/>
          </w:tcPr>
          <w:p w14:paraId="09A941A4">
            <w:pPr>
              <w:widowControl/>
              <w:autoSpaceDE w:val="0"/>
              <w:autoSpaceDN w:val="0"/>
              <w:spacing w:line="280" w:lineRule="exact"/>
              <w:rPr>
                <w:rFonts w:ascii="Times New Roman" w:hAnsi="Times New Roman" w:eastAsia="仿宋_GB2312"/>
                <w:color w:val="auto"/>
                <w:szCs w:val="21"/>
              </w:rPr>
            </w:pPr>
            <w:r>
              <w:rPr>
                <w:rFonts w:hint="eastAsia" w:ascii="Times New Roman" w:hAnsi="Times New Roman" w:eastAsia="仿宋_GB2312"/>
                <w:color w:val="auto"/>
                <w:szCs w:val="21"/>
              </w:rPr>
              <w:t>对招标人以不合理的条件限制或者排斥潜在投标人的，对潜在投标人实行歧视待遇的，强制要求投标人组成联合体共同投标的，或者限制投标人之间竞争的处罚</w:t>
            </w:r>
          </w:p>
        </w:tc>
        <w:tc>
          <w:tcPr>
            <w:tcW w:w="622" w:type="dxa"/>
            <w:tcBorders>
              <w:left w:val="single" w:color="auto" w:sz="4" w:space="0"/>
              <w:bottom w:val="single" w:color="auto" w:sz="4" w:space="0"/>
              <w:right w:val="single" w:color="auto" w:sz="4" w:space="0"/>
            </w:tcBorders>
            <w:shd w:val="clear" w:color="auto" w:fill="auto"/>
            <w:vAlign w:val="center"/>
          </w:tcPr>
          <w:p w14:paraId="1CFBAC11">
            <w:pPr>
              <w:spacing w:line="280" w:lineRule="exact"/>
              <w:rPr>
                <w:rFonts w:ascii="Times New Roman" w:hAnsi="Times New Roman" w:eastAsia="仿宋_GB2312"/>
                <w:color w:val="auto"/>
                <w:kern w:val="0"/>
                <w:szCs w:val="21"/>
              </w:rPr>
            </w:pPr>
          </w:p>
        </w:tc>
      </w:tr>
      <w:tr w14:paraId="0F688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0" w:hRule="atLeast"/>
          <w:jc w:val="center"/>
        </w:trPr>
        <w:tc>
          <w:tcPr>
            <w:tcW w:w="536" w:type="dxa"/>
            <w:vMerge w:val="restart"/>
            <w:tcBorders>
              <w:top w:val="single" w:color="auto" w:sz="4" w:space="0"/>
              <w:left w:val="single" w:color="auto" w:sz="4" w:space="0"/>
              <w:right w:val="single" w:color="auto" w:sz="4" w:space="0"/>
            </w:tcBorders>
            <w:shd w:val="clear" w:color="auto" w:fill="auto"/>
            <w:vAlign w:val="center"/>
          </w:tcPr>
          <w:p w14:paraId="36F36A37">
            <w:pPr>
              <w:widowControl/>
              <w:autoSpaceDE w:val="0"/>
              <w:autoSpaceDN w:val="0"/>
              <w:spacing w:line="280" w:lineRule="exact"/>
              <w:jc w:val="center"/>
              <w:rPr>
                <w:rFonts w:ascii="Times New Roman" w:hAnsi="Times New Roman" w:eastAsia="仿宋_GB2312"/>
                <w:color w:val="auto"/>
                <w:szCs w:val="21"/>
              </w:rPr>
            </w:pPr>
            <w:r>
              <w:rPr>
                <w:rFonts w:hint="eastAsia" w:ascii="Times New Roman" w:hAnsi="Times New Roman" w:eastAsia="仿宋_GB2312"/>
                <w:color w:val="auto"/>
                <w:szCs w:val="21"/>
              </w:rPr>
              <w:t>3</w:t>
            </w:r>
          </w:p>
        </w:tc>
        <w:tc>
          <w:tcPr>
            <w:tcW w:w="1324" w:type="dxa"/>
            <w:vMerge w:val="restart"/>
            <w:tcBorders>
              <w:top w:val="single" w:color="auto" w:sz="4" w:space="0"/>
              <w:left w:val="single" w:color="auto" w:sz="4" w:space="0"/>
              <w:right w:val="single" w:color="auto" w:sz="4" w:space="0"/>
            </w:tcBorders>
            <w:shd w:val="clear" w:color="auto" w:fill="auto"/>
            <w:vAlign w:val="center"/>
          </w:tcPr>
          <w:p w14:paraId="25D83801">
            <w:pPr>
              <w:widowControl/>
              <w:autoSpaceDE w:val="0"/>
              <w:autoSpaceDN w:val="0"/>
              <w:spacing w:line="280" w:lineRule="exact"/>
              <w:jc w:val="left"/>
              <w:rPr>
                <w:rFonts w:ascii="Times New Roman" w:hAnsi="Times New Roman" w:eastAsia="仿宋_GB2312"/>
                <w:color w:val="auto"/>
                <w:szCs w:val="21"/>
              </w:rPr>
            </w:pPr>
            <w:r>
              <w:rPr>
                <w:rFonts w:hint="eastAsia" w:ascii="Times New Roman" w:hAnsi="Times New Roman" w:eastAsia="仿宋_GB2312"/>
                <w:color w:val="auto"/>
                <w:szCs w:val="21"/>
              </w:rPr>
              <w:t>对建设工程项目勘察、设计、施工、监理及与工程建设有关的重要设备、材料采购的招标投标活动的行政监督和对招标代理机构的行政检查</w:t>
            </w:r>
          </w:p>
        </w:tc>
        <w:tc>
          <w:tcPr>
            <w:tcW w:w="794" w:type="dxa"/>
            <w:vMerge w:val="restart"/>
            <w:tcBorders>
              <w:top w:val="single" w:color="auto" w:sz="4" w:space="0"/>
              <w:left w:val="single" w:color="auto" w:sz="4" w:space="0"/>
              <w:right w:val="single" w:color="auto" w:sz="4" w:space="0"/>
            </w:tcBorders>
            <w:shd w:val="clear" w:color="auto" w:fill="auto"/>
            <w:vAlign w:val="center"/>
          </w:tcPr>
          <w:p w14:paraId="23BB7609">
            <w:pPr>
              <w:widowControl/>
              <w:autoSpaceDE w:val="0"/>
              <w:autoSpaceDN w:val="0"/>
              <w:spacing w:line="280" w:lineRule="exact"/>
              <w:jc w:val="center"/>
              <w:rPr>
                <w:rFonts w:ascii="Times New Roman" w:hAnsi="Times New Roman" w:eastAsia="仿宋_GB2312"/>
                <w:color w:val="auto"/>
                <w:szCs w:val="21"/>
              </w:rPr>
            </w:pPr>
            <w:r>
              <w:rPr>
                <w:rFonts w:hint="eastAsia" w:ascii="Times New Roman" w:hAnsi="Times New Roman" w:eastAsia="仿宋_GB2312"/>
                <w:color w:val="auto"/>
                <w:szCs w:val="21"/>
              </w:rPr>
              <w:t>苏州市相城区住房和城乡建设局</w:t>
            </w:r>
          </w:p>
        </w:tc>
        <w:tc>
          <w:tcPr>
            <w:tcW w:w="872" w:type="dxa"/>
            <w:vMerge w:val="restart"/>
            <w:tcBorders>
              <w:top w:val="single" w:color="auto" w:sz="4" w:space="0"/>
              <w:left w:val="single" w:color="auto" w:sz="4" w:space="0"/>
              <w:right w:val="single" w:color="auto" w:sz="4" w:space="0"/>
            </w:tcBorders>
            <w:shd w:val="clear" w:color="auto" w:fill="auto"/>
            <w:vAlign w:val="center"/>
          </w:tcPr>
          <w:p w14:paraId="59863D49">
            <w:pPr>
              <w:widowControl/>
              <w:autoSpaceDE w:val="0"/>
              <w:autoSpaceDN w:val="0"/>
              <w:spacing w:line="280" w:lineRule="exact"/>
              <w:jc w:val="left"/>
              <w:rPr>
                <w:rFonts w:ascii="Times New Roman" w:hAnsi="Times New Roman" w:eastAsia="仿宋_GB2312"/>
                <w:color w:val="auto"/>
                <w:szCs w:val="21"/>
              </w:rPr>
            </w:pPr>
            <w:r>
              <w:rPr>
                <w:rFonts w:hint="eastAsia" w:ascii="Times New Roman" w:hAnsi="Times New Roman" w:eastAsia="仿宋_GB2312"/>
                <w:color w:val="auto"/>
                <w:szCs w:val="21"/>
              </w:rPr>
              <w:t>相城区招投标管理服务中心</w:t>
            </w:r>
          </w:p>
        </w:tc>
        <w:tc>
          <w:tcPr>
            <w:tcW w:w="869" w:type="dxa"/>
            <w:vMerge w:val="restart"/>
            <w:tcBorders>
              <w:top w:val="single" w:color="auto" w:sz="4" w:space="0"/>
              <w:left w:val="single" w:color="auto" w:sz="4" w:space="0"/>
              <w:right w:val="single" w:color="auto" w:sz="4" w:space="0"/>
            </w:tcBorders>
            <w:shd w:val="clear" w:color="auto" w:fill="auto"/>
            <w:vAlign w:val="center"/>
          </w:tcPr>
          <w:p w14:paraId="10C0446B">
            <w:pPr>
              <w:widowControl/>
              <w:autoSpaceDE w:val="0"/>
              <w:autoSpaceDN w:val="0"/>
              <w:spacing w:line="280" w:lineRule="exact"/>
              <w:jc w:val="left"/>
              <w:rPr>
                <w:rFonts w:ascii="Times New Roman" w:hAnsi="Times New Roman" w:eastAsia="仿宋_GB2312"/>
                <w:color w:val="auto"/>
                <w:szCs w:val="21"/>
              </w:rPr>
            </w:pPr>
            <w:r>
              <w:rPr>
                <w:rFonts w:hint="eastAsia" w:ascii="Times New Roman" w:hAnsi="Times New Roman" w:eastAsia="仿宋_GB2312"/>
                <w:color w:val="auto"/>
                <w:szCs w:val="21"/>
              </w:rPr>
              <w:t>招标人、招标代理机构、投标人、中标人、评标委员会</w:t>
            </w:r>
          </w:p>
        </w:tc>
        <w:tc>
          <w:tcPr>
            <w:tcW w:w="4962" w:type="dxa"/>
            <w:vMerge w:val="restart"/>
            <w:tcBorders>
              <w:top w:val="single" w:color="auto" w:sz="4" w:space="0"/>
              <w:left w:val="single" w:color="auto" w:sz="4" w:space="0"/>
              <w:right w:val="single" w:color="auto" w:sz="4" w:space="0"/>
            </w:tcBorders>
            <w:shd w:val="clear" w:color="auto" w:fill="auto"/>
            <w:vAlign w:val="center"/>
          </w:tcPr>
          <w:p w14:paraId="7435EB08">
            <w:pPr>
              <w:widowControl/>
              <w:autoSpaceDE w:val="0"/>
              <w:autoSpaceDN w:val="0"/>
              <w:spacing w:line="280" w:lineRule="exact"/>
              <w:jc w:val="left"/>
              <w:rPr>
                <w:rFonts w:ascii="Times New Roman" w:hAnsi="Times New Roman" w:eastAsia="仿宋_GB2312"/>
                <w:color w:val="auto"/>
                <w:szCs w:val="21"/>
              </w:rPr>
            </w:pPr>
            <w:r>
              <w:rPr>
                <w:rFonts w:hint="eastAsia" w:ascii="Times New Roman" w:hAnsi="Times New Roman" w:eastAsia="仿宋_GB2312"/>
                <w:color w:val="auto"/>
                <w:szCs w:val="21"/>
              </w:rPr>
              <w:t>【</w:t>
            </w:r>
            <w:r>
              <w:rPr>
                <w:rFonts w:hint="eastAsia" w:ascii="Times New Roman" w:hAnsi="Times New Roman" w:eastAsia="仿宋_GB2312"/>
                <w:color w:val="auto"/>
                <w:szCs w:val="21"/>
                <w:lang w:val="en-US" w:eastAsia="zh-CN"/>
              </w:rPr>
              <w:t>法律</w:t>
            </w:r>
            <w:r>
              <w:rPr>
                <w:rFonts w:hint="eastAsia" w:ascii="Times New Roman" w:hAnsi="Times New Roman" w:eastAsia="仿宋_GB2312"/>
                <w:color w:val="auto"/>
                <w:szCs w:val="21"/>
              </w:rPr>
              <w:t>】《中华人民共和国招标投标法》</w:t>
            </w:r>
          </w:p>
          <w:p w14:paraId="2A064D74">
            <w:pPr>
              <w:widowControl/>
              <w:autoSpaceDE w:val="0"/>
              <w:autoSpaceDN w:val="0"/>
              <w:spacing w:line="280" w:lineRule="exact"/>
              <w:jc w:val="left"/>
              <w:rPr>
                <w:rFonts w:ascii="Times New Roman" w:hAnsi="Times New Roman" w:eastAsia="仿宋_GB2312"/>
                <w:color w:val="auto"/>
                <w:szCs w:val="21"/>
              </w:rPr>
            </w:pPr>
            <w:r>
              <w:rPr>
                <w:rFonts w:hint="eastAsia" w:ascii="Times New Roman" w:hAnsi="Times New Roman" w:eastAsia="仿宋_GB2312"/>
                <w:color w:val="auto"/>
                <w:szCs w:val="21"/>
              </w:rPr>
              <w:t xml:space="preserve">    第七条  招标投标活动及其当事人应当接受依法实施的监督。有关行政监督部门依法对招标投标活动实施监督，依法查处招标投标活动中的违法行为。对招标投标活动的行政监督及有关部门的具体职权划分，由国务院规定。</w:t>
            </w:r>
          </w:p>
          <w:p w14:paraId="5999096F">
            <w:pPr>
              <w:widowControl/>
              <w:autoSpaceDE w:val="0"/>
              <w:autoSpaceDN w:val="0"/>
              <w:spacing w:line="280" w:lineRule="exact"/>
              <w:jc w:val="left"/>
              <w:rPr>
                <w:rFonts w:ascii="Times New Roman" w:hAnsi="Times New Roman" w:eastAsia="仿宋_GB2312"/>
                <w:color w:val="auto"/>
                <w:szCs w:val="21"/>
              </w:rPr>
            </w:pPr>
            <w:r>
              <w:rPr>
                <w:rFonts w:hint="eastAsia" w:ascii="Times New Roman" w:hAnsi="Times New Roman" w:eastAsia="仿宋_GB2312"/>
                <w:color w:val="auto"/>
                <w:szCs w:val="21"/>
              </w:rPr>
              <w:t>【法规】《中华人民共和国招标投标法实施条例》</w:t>
            </w:r>
          </w:p>
          <w:p w14:paraId="78477624">
            <w:pPr>
              <w:widowControl/>
              <w:autoSpaceDE w:val="0"/>
              <w:autoSpaceDN w:val="0"/>
              <w:spacing w:line="280" w:lineRule="exact"/>
              <w:jc w:val="left"/>
              <w:rPr>
                <w:rFonts w:ascii="Times New Roman" w:hAnsi="Times New Roman" w:eastAsia="仿宋_GB2312"/>
                <w:color w:val="auto"/>
                <w:szCs w:val="21"/>
              </w:rPr>
            </w:pPr>
            <w:r>
              <w:rPr>
                <w:rFonts w:hint="eastAsia" w:ascii="Times New Roman" w:hAnsi="Times New Roman" w:eastAsia="仿宋_GB2312"/>
                <w:color w:val="auto"/>
                <w:szCs w:val="21"/>
              </w:rPr>
              <w:t xml:space="preserve">    第四条  国务院发展改革部门指导和协调全国招标投标工作，对国家重大建设项目的工程招标投标活动实施监督检查。国务院工业和信息化、住房城乡建设、交通运输、铁道、水利、商务等部门，按照规定的职责分工对有关招标投标活动实施监督。县级以上地方人民政府发展改革部门指导和协调本行政区域的招标投标工作。县级以上地方人民政府有关部门按照规定的职责分工，对招标投标活动实施监督，依法查处招标投标活动中的违法行为。县级以上地方人民政府对其所属部门有关招标投标活动的监督职责分工另有规定的，从其规定。</w:t>
            </w:r>
          </w:p>
          <w:p w14:paraId="766B4DA0">
            <w:pPr>
              <w:widowControl/>
              <w:autoSpaceDE w:val="0"/>
              <w:autoSpaceDN w:val="0"/>
              <w:spacing w:line="280" w:lineRule="exact"/>
              <w:ind w:firstLine="420" w:firstLineChars="200"/>
              <w:jc w:val="left"/>
              <w:rPr>
                <w:rFonts w:ascii="Times New Roman" w:hAnsi="Times New Roman" w:eastAsia="仿宋_GB2312"/>
                <w:color w:val="auto"/>
                <w:szCs w:val="21"/>
              </w:rPr>
            </w:pPr>
            <w:r>
              <w:rPr>
                <w:rFonts w:hint="eastAsia" w:ascii="Times New Roman" w:hAnsi="Times New Roman" w:eastAsia="仿宋_GB2312"/>
                <w:color w:val="auto"/>
                <w:szCs w:val="21"/>
              </w:rPr>
              <w:t>第十一条  国务院住房城乡建设、商务、发展改革、工业和信息化等部门，按照规定的职责分工对招标代理机构依法实施监督管理。</w:t>
            </w:r>
          </w:p>
          <w:p w14:paraId="4C7CFDDC">
            <w:pPr>
              <w:widowControl/>
              <w:autoSpaceDE w:val="0"/>
              <w:autoSpaceDN w:val="0"/>
              <w:spacing w:line="280" w:lineRule="exact"/>
              <w:jc w:val="left"/>
              <w:rPr>
                <w:rFonts w:hint="eastAsia" w:ascii="Times New Roman" w:hAnsi="Times New Roman" w:eastAsia="仿宋_GB2312"/>
                <w:color w:val="auto"/>
                <w:szCs w:val="21"/>
                <w:lang w:eastAsia="zh-CN"/>
              </w:rPr>
            </w:pPr>
            <w:r>
              <w:rPr>
                <w:rFonts w:hint="eastAsia" w:ascii="Times New Roman" w:hAnsi="Times New Roman" w:eastAsia="仿宋_GB2312"/>
                <w:color w:val="auto"/>
                <w:szCs w:val="21"/>
              </w:rPr>
              <w:t xml:space="preserve">【文件】《住房城乡建设部办公厅关于取消工程建设项目招标代理机构资格认定加强事中事后监管的通知》 </w:t>
            </w:r>
          </w:p>
          <w:p w14:paraId="3303F608">
            <w:pPr>
              <w:widowControl/>
              <w:autoSpaceDE w:val="0"/>
              <w:autoSpaceDN w:val="0"/>
              <w:spacing w:line="280" w:lineRule="exact"/>
              <w:jc w:val="left"/>
              <w:rPr>
                <w:rFonts w:ascii="Times New Roman" w:hAnsi="Times New Roman" w:eastAsia="仿宋_GB2312"/>
                <w:color w:val="auto"/>
                <w:szCs w:val="21"/>
              </w:rPr>
            </w:pPr>
            <w:r>
              <w:rPr>
                <w:rFonts w:hint="eastAsia" w:ascii="Times New Roman" w:hAnsi="Times New Roman" w:eastAsia="仿宋_GB2312"/>
                <w:color w:val="auto"/>
                <w:szCs w:val="21"/>
              </w:rPr>
              <w:t xml:space="preserve">    各级住房城乡建设主管部门要高度重视招标代理机构资格认定取消后的事中事后监管工作，完善工作机制，创新监管手段，加强工程建设项目招标投标活动监管，依法严肃查处违法违规行为，促进招投标活动有序开展。</w:t>
            </w:r>
          </w:p>
        </w:tc>
        <w:tc>
          <w:tcPr>
            <w:tcW w:w="992" w:type="dxa"/>
            <w:vMerge w:val="restart"/>
            <w:tcBorders>
              <w:top w:val="single" w:color="auto" w:sz="4" w:space="0"/>
              <w:left w:val="single" w:color="auto" w:sz="4" w:space="0"/>
              <w:right w:val="single" w:color="auto" w:sz="4" w:space="0"/>
            </w:tcBorders>
            <w:shd w:val="clear" w:color="auto" w:fill="auto"/>
            <w:vAlign w:val="center"/>
          </w:tcPr>
          <w:p w14:paraId="1C130FCC">
            <w:pPr>
              <w:widowControl/>
              <w:autoSpaceDE w:val="0"/>
              <w:autoSpaceDN w:val="0"/>
              <w:spacing w:line="280" w:lineRule="exact"/>
              <w:jc w:val="center"/>
              <w:rPr>
                <w:rFonts w:ascii="Times New Roman" w:hAnsi="Times New Roman" w:eastAsia="仿宋_GB2312"/>
                <w:color w:val="auto"/>
                <w:szCs w:val="21"/>
              </w:rPr>
            </w:pPr>
            <w:r>
              <w:rPr>
                <w:rFonts w:hint="eastAsia" w:ascii="Times New Roman" w:hAnsi="Times New Roman" w:eastAsia="仿宋_GB2312"/>
                <w:color w:val="auto"/>
                <w:szCs w:val="21"/>
              </w:rPr>
              <w:t>现场</w:t>
            </w:r>
          </w:p>
          <w:p w14:paraId="25E840EE">
            <w:pPr>
              <w:widowControl/>
              <w:autoSpaceDE w:val="0"/>
              <w:autoSpaceDN w:val="0"/>
              <w:spacing w:line="280" w:lineRule="exact"/>
              <w:jc w:val="center"/>
              <w:rPr>
                <w:rFonts w:ascii="Times New Roman" w:hAnsi="Times New Roman" w:eastAsia="仿宋_GB2312"/>
                <w:color w:val="auto"/>
                <w:szCs w:val="21"/>
              </w:rPr>
            </w:pPr>
            <w:r>
              <w:rPr>
                <w:rFonts w:hint="eastAsia" w:ascii="Times New Roman" w:hAnsi="Times New Roman" w:eastAsia="仿宋_GB2312"/>
                <w:color w:val="auto"/>
                <w:szCs w:val="21"/>
              </w:rPr>
              <w:t>检查</w:t>
            </w:r>
          </w:p>
        </w:tc>
        <w:tc>
          <w:tcPr>
            <w:tcW w:w="1139" w:type="dxa"/>
            <w:vMerge w:val="restart"/>
            <w:tcBorders>
              <w:top w:val="single" w:color="auto" w:sz="4" w:space="0"/>
              <w:left w:val="single" w:color="auto" w:sz="4" w:space="0"/>
              <w:right w:val="single" w:color="auto" w:sz="4" w:space="0"/>
            </w:tcBorders>
            <w:shd w:val="clear" w:color="auto" w:fill="auto"/>
            <w:vAlign w:val="center"/>
          </w:tcPr>
          <w:p w14:paraId="60E71ABE">
            <w:pPr>
              <w:widowControl/>
              <w:autoSpaceDE w:val="0"/>
              <w:autoSpaceDN w:val="0"/>
              <w:spacing w:line="280" w:lineRule="exact"/>
              <w:jc w:val="center"/>
              <w:rPr>
                <w:rFonts w:ascii="Times New Roman" w:hAnsi="Times New Roman" w:eastAsia="仿宋_GB2312"/>
                <w:color w:val="auto"/>
                <w:szCs w:val="21"/>
              </w:rPr>
            </w:pPr>
            <w:r>
              <w:rPr>
                <w:rFonts w:hint="eastAsia" w:ascii="Times New Roman" w:hAnsi="Times New Roman" w:eastAsia="仿宋_GB2312"/>
                <w:color w:val="auto"/>
                <w:szCs w:val="21"/>
              </w:rPr>
              <w:t>双随机检查，不少于总标段数的5%且不少于10个标段；</w:t>
            </w:r>
          </w:p>
          <w:p w14:paraId="75617512">
            <w:pPr>
              <w:widowControl/>
              <w:autoSpaceDE w:val="0"/>
              <w:autoSpaceDN w:val="0"/>
              <w:spacing w:line="280" w:lineRule="exact"/>
              <w:jc w:val="center"/>
              <w:rPr>
                <w:rFonts w:ascii="Times New Roman" w:hAnsi="Times New Roman" w:eastAsia="仿宋_GB2312"/>
                <w:color w:val="auto"/>
                <w:szCs w:val="21"/>
              </w:rPr>
            </w:pPr>
            <w:r>
              <w:rPr>
                <w:rFonts w:hint="eastAsia" w:ascii="Times New Roman" w:hAnsi="Times New Roman" w:eastAsia="仿宋_GB2312"/>
                <w:color w:val="auto"/>
                <w:szCs w:val="21"/>
              </w:rPr>
              <w:t>对招标代理机构的行政检查与招投标检查合并进行</w:t>
            </w:r>
          </w:p>
        </w:tc>
        <w:tc>
          <w:tcPr>
            <w:tcW w:w="1491" w:type="dxa"/>
            <w:tcBorders>
              <w:top w:val="single" w:color="auto" w:sz="4" w:space="0"/>
              <w:left w:val="single" w:color="auto" w:sz="4" w:space="0"/>
              <w:bottom w:val="single" w:color="auto" w:sz="4" w:space="0"/>
              <w:right w:val="single" w:color="auto" w:sz="4" w:space="0"/>
            </w:tcBorders>
            <w:shd w:val="clear" w:color="auto" w:fill="auto"/>
            <w:vAlign w:val="center"/>
          </w:tcPr>
          <w:p w14:paraId="7BD38AB7">
            <w:pPr>
              <w:widowControl/>
              <w:autoSpaceDE w:val="0"/>
              <w:autoSpaceDN w:val="0"/>
              <w:spacing w:line="280" w:lineRule="exact"/>
              <w:jc w:val="center"/>
              <w:rPr>
                <w:rFonts w:ascii="Times New Roman" w:hAnsi="Times New Roman" w:eastAsia="仿宋_GB2312"/>
                <w:color w:val="auto"/>
                <w:szCs w:val="21"/>
              </w:rPr>
            </w:pPr>
            <w:r>
              <w:rPr>
                <w:rFonts w:hint="eastAsia" w:ascii="Times New Roman" w:hAnsi="Times New Roman" w:eastAsia="仿宋_GB2312"/>
                <w:color w:val="auto"/>
                <w:szCs w:val="21"/>
              </w:rPr>
              <w:t>320217509000</w:t>
            </w:r>
          </w:p>
        </w:tc>
        <w:tc>
          <w:tcPr>
            <w:tcW w:w="1481" w:type="dxa"/>
            <w:tcBorders>
              <w:top w:val="single" w:color="auto" w:sz="4" w:space="0"/>
              <w:left w:val="single" w:color="auto" w:sz="4" w:space="0"/>
              <w:bottom w:val="single" w:color="auto" w:sz="4" w:space="0"/>
              <w:right w:val="single" w:color="auto" w:sz="4" w:space="0"/>
            </w:tcBorders>
            <w:shd w:val="clear" w:color="auto" w:fill="auto"/>
            <w:vAlign w:val="center"/>
          </w:tcPr>
          <w:p w14:paraId="6799E295">
            <w:pPr>
              <w:widowControl/>
              <w:autoSpaceDE w:val="0"/>
              <w:autoSpaceDN w:val="0"/>
              <w:spacing w:line="280" w:lineRule="exact"/>
              <w:rPr>
                <w:rFonts w:ascii="Times New Roman" w:hAnsi="Times New Roman" w:eastAsia="仿宋_GB2312"/>
                <w:color w:val="auto"/>
                <w:szCs w:val="21"/>
              </w:rPr>
            </w:pPr>
            <w:r>
              <w:rPr>
                <w:rFonts w:hint="eastAsia" w:ascii="Times New Roman" w:hAnsi="Times New Roman" w:eastAsia="仿宋_GB2312"/>
                <w:color w:val="auto"/>
                <w:szCs w:val="21"/>
              </w:rPr>
              <w:t>对依法必须进行招标的项目的招标人不按照规定发布资格预审公告或者招标公告构成规避招标的处罚</w:t>
            </w:r>
          </w:p>
        </w:tc>
        <w:tc>
          <w:tcPr>
            <w:tcW w:w="622" w:type="dxa"/>
            <w:tcBorders>
              <w:top w:val="single" w:color="auto" w:sz="4" w:space="0"/>
              <w:left w:val="single" w:color="auto" w:sz="4" w:space="0"/>
              <w:right w:val="single" w:color="auto" w:sz="4" w:space="0"/>
            </w:tcBorders>
            <w:shd w:val="clear" w:color="auto" w:fill="auto"/>
            <w:vAlign w:val="center"/>
          </w:tcPr>
          <w:p w14:paraId="59FCFCDB">
            <w:pPr>
              <w:spacing w:line="280" w:lineRule="exact"/>
              <w:jc w:val="center"/>
              <w:rPr>
                <w:rFonts w:ascii="Times New Roman" w:hAnsi="Times New Roman" w:eastAsia="仿宋_GB2312"/>
                <w:color w:val="auto"/>
                <w:kern w:val="0"/>
                <w:szCs w:val="21"/>
              </w:rPr>
            </w:pPr>
          </w:p>
        </w:tc>
      </w:tr>
      <w:tr w14:paraId="4D080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25" w:hRule="atLeast"/>
          <w:jc w:val="center"/>
        </w:trPr>
        <w:tc>
          <w:tcPr>
            <w:tcW w:w="536" w:type="dxa"/>
            <w:vMerge w:val="continue"/>
            <w:tcBorders>
              <w:left w:val="single" w:color="auto" w:sz="4" w:space="0"/>
              <w:right w:val="single" w:color="auto" w:sz="4" w:space="0"/>
            </w:tcBorders>
            <w:shd w:val="clear" w:color="auto" w:fill="auto"/>
            <w:vAlign w:val="center"/>
          </w:tcPr>
          <w:p w14:paraId="01C3B10B">
            <w:pPr>
              <w:widowControl/>
              <w:autoSpaceDE w:val="0"/>
              <w:autoSpaceDN w:val="0"/>
              <w:spacing w:line="280" w:lineRule="exact"/>
              <w:jc w:val="left"/>
              <w:rPr>
                <w:rFonts w:ascii="Times New Roman" w:hAnsi="Times New Roman" w:eastAsia="仿宋_GB2312"/>
                <w:color w:val="auto"/>
                <w:szCs w:val="21"/>
              </w:rPr>
            </w:pPr>
          </w:p>
        </w:tc>
        <w:tc>
          <w:tcPr>
            <w:tcW w:w="1324" w:type="dxa"/>
            <w:vMerge w:val="continue"/>
            <w:tcBorders>
              <w:left w:val="single" w:color="auto" w:sz="4" w:space="0"/>
              <w:right w:val="single" w:color="auto" w:sz="4" w:space="0"/>
            </w:tcBorders>
            <w:shd w:val="clear" w:color="auto" w:fill="auto"/>
            <w:vAlign w:val="center"/>
          </w:tcPr>
          <w:p w14:paraId="721FB365">
            <w:pPr>
              <w:widowControl/>
              <w:autoSpaceDE w:val="0"/>
              <w:autoSpaceDN w:val="0"/>
              <w:spacing w:line="280" w:lineRule="exact"/>
              <w:jc w:val="left"/>
              <w:rPr>
                <w:rFonts w:ascii="Times New Roman" w:hAnsi="Times New Roman" w:eastAsia="仿宋_GB2312"/>
                <w:color w:val="auto"/>
                <w:szCs w:val="21"/>
              </w:rPr>
            </w:pPr>
          </w:p>
        </w:tc>
        <w:tc>
          <w:tcPr>
            <w:tcW w:w="794" w:type="dxa"/>
            <w:vMerge w:val="continue"/>
            <w:tcBorders>
              <w:left w:val="single" w:color="auto" w:sz="4" w:space="0"/>
              <w:right w:val="single" w:color="auto" w:sz="4" w:space="0"/>
            </w:tcBorders>
            <w:shd w:val="clear" w:color="auto" w:fill="auto"/>
            <w:vAlign w:val="center"/>
          </w:tcPr>
          <w:p w14:paraId="0319B6AA">
            <w:pPr>
              <w:widowControl/>
              <w:autoSpaceDE w:val="0"/>
              <w:autoSpaceDN w:val="0"/>
              <w:spacing w:line="280" w:lineRule="exact"/>
              <w:jc w:val="left"/>
              <w:rPr>
                <w:rFonts w:ascii="Times New Roman" w:hAnsi="Times New Roman" w:eastAsia="仿宋_GB2312"/>
                <w:color w:val="auto"/>
                <w:szCs w:val="21"/>
              </w:rPr>
            </w:pPr>
          </w:p>
        </w:tc>
        <w:tc>
          <w:tcPr>
            <w:tcW w:w="872" w:type="dxa"/>
            <w:vMerge w:val="continue"/>
            <w:tcBorders>
              <w:left w:val="single" w:color="auto" w:sz="4" w:space="0"/>
              <w:right w:val="single" w:color="auto" w:sz="4" w:space="0"/>
            </w:tcBorders>
            <w:shd w:val="clear" w:color="auto" w:fill="auto"/>
            <w:vAlign w:val="center"/>
          </w:tcPr>
          <w:p w14:paraId="1714BAA1">
            <w:pPr>
              <w:widowControl/>
              <w:autoSpaceDE w:val="0"/>
              <w:autoSpaceDN w:val="0"/>
              <w:spacing w:line="280" w:lineRule="exact"/>
              <w:jc w:val="left"/>
              <w:rPr>
                <w:rFonts w:ascii="Times New Roman" w:hAnsi="Times New Roman" w:eastAsia="仿宋_GB2312"/>
                <w:color w:val="auto"/>
                <w:szCs w:val="21"/>
              </w:rPr>
            </w:pPr>
          </w:p>
        </w:tc>
        <w:tc>
          <w:tcPr>
            <w:tcW w:w="869" w:type="dxa"/>
            <w:vMerge w:val="continue"/>
            <w:tcBorders>
              <w:left w:val="single" w:color="auto" w:sz="4" w:space="0"/>
              <w:right w:val="single" w:color="auto" w:sz="4" w:space="0"/>
            </w:tcBorders>
            <w:shd w:val="clear" w:color="auto" w:fill="auto"/>
            <w:vAlign w:val="center"/>
          </w:tcPr>
          <w:p w14:paraId="1F4A26E3">
            <w:pPr>
              <w:widowControl/>
              <w:autoSpaceDE w:val="0"/>
              <w:autoSpaceDN w:val="0"/>
              <w:spacing w:line="280" w:lineRule="exact"/>
              <w:jc w:val="left"/>
              <w:rPr>
                <w:rFonts w:ascii="Times New Roman" w:hAnsi="Times New Roman" w:eastAsia="仿宋_GB2312"/>
                <w:color w:val="auto"/>
                <w:szCs w:val="21"/>
              </w:rPr>
            </w:pPr>
          </w:p>
        </w:tc>
        <w:tc>
          <w:tcPr>
            <w:tcW w:w="4962" w:type="dxa"/>
            <w:vMerge w:val="continue"/>
            <w:tcBorders>
              <w:left w:val="single" w:color="auto" w:sz="4" w:space="0"/>
              <w:right w:val="single" w:color="auto" w:sz="4" w:space="0"/>
            </w:tcBorders>
            <w:shd w:val="clear" w:color="auto" w:fill="auto"/>
            <w:vAlign w:val="center"/>
          </w:tcPr>
          <w:p w14:paraId="5647EE6C">
            <w:pPr>
              <w:widowControl/>
              <w:autoSpaceDE w:val="0"/>
              <w:autoSpaceDN w:val="0"/>
              <w:spacing w:line="280" w:lineRule="exact"/>
              <w:jc w:val="left"/>
              <w:rPr>
                <w:rFonts w:ascii="Times New Roman" w:hAnsi="Times New Roman" w:eastAsia="仿宋_GB2312"/>
                <w:color w:val="auto"/>
                <w:szCs w:val="21"/>
              </w:rPr>
            </w:pPr>
          </w:p>
        </w:tc>
        <w:tc>
          <w:tcPr>
            <w:tcW w:w="992" w:type="dxa"/>
            <w:vMerge w:val="continue"/>
            <w:tcBorders>
              <w:left w:val="single" w:color="auto" w:sz="4" w:space="0"/>
              <w:right w:val="single" w:color="auto" w:sz="4" w:space="0"/>
            </w:tcBorders>
            <w:shd w:val="clear" w:color="auto" w:fill="auto"/>
            <w:vAlign w:val="center"/>
          </w:tcPr>
          <w:p w14:paraId="53192CC6">
            <w:pPr>
              <w:widowControl/>
              <w:autoSpaceDE w:val="0"/>
              <w:autoSpaceDN w:val="0"/>
              <w:spacing w:line="280" w:lineRule="exact"/>
              <w:jc w:val="left"/>
              <w:rPr>
                <w:rFonts w:ascii="Times New Roman" w:hAnsi="Times New Roman" w:eastAsia="仿宋_GB2312"/>
                <w:color w:val="auto"/>
                <w:szCs w:val="21"/>
              </w:rPr>
            </w:pPr>
          </w:p>
        </w:tc>
        <w:tc>
          <w:tcPr>
            <w:tcW w:w="1139" w:type="dxa"/>
            <w:vMerge w:val="continue"/>
            <w:tcBorders>
              <w:left w:val="single" w:color="auto" w:sz="4" w:space="0"/>
              <w:right w:val="single" w:color="auto" w:sz="4" w:space="0"/>
            </w:tcBorders>
            <w:shd w:val="clear" w:color="auto" w:fill="auto"/>
            <w:vAlign w:val="center"/>
          </w:tcPr>
          <w:p w14:paraId="203CC102">
            <w:pPr>
              <w:widowControl/>
              <w:autoSpaceDE w:val="0"/>
              <w:autoSpaceDN w:val="0"/>
              <w:spacing w:line="280" w:lineRule="exact"/>
              <w:jc w:val="center"/>
              <w:rPr>
                <w:rFonts w:ascii="Times New Roman" w:hAnsi="Times New Roman" w:eastAsia="仿宋_GB2312"/>
                <w:color w:val="auto"/>
                <w:szCs w:val="21"/>
              </w:rPr>
            </w:pPr>
          </w:p>
        </w:tc>
        <w:tc>
          <w:tcPr>
            <w:tcW w:w="1491" w:type="dxa"/>
            <w:tcBorders>
              <w:top w:val="single" w:color="auto" w:sz="4" w:space="0"/>
              <w:left w:val="single" w:color="auto" w:sz="4" w:space="0"/>
              <w:bottom w:val="single" w:color="auto" w:sz="4" w:space="0"/>
              <w:right w:val="single" w:color="auto" w:sz="4" w:space="0"/>
            </w:tcBorders>
            <w:shd w:val="clear" w:color="auto" w:fill="auto"/>
            <w:vAlign w:val="center"/>
          </w:tcPr>
          <w:p w14:paraId="17BA1F96">
            <w:pPr>
              <w:widowControl/>
              <w:autoSpaceDE w:val="0"/>
              <w:autoSpaceDN w:val="0"/>
              <w:spacing w:line="280" w:lineRule="exact"/>
              <w:jc w:val="center"/>
              <w:rPr>
                <w:rFonts w:ascii="Times New Roman" w:hAnsi="Times New Roman" w:eastAsia="仿宋_GB2312"/>
                <w:color w:val="auto"/>
                <w:szCs w:val="21"/>
              </w:rPr>
            </w:pPr>
            <w:r>
              <w:rPr>
                <w:rFonts w:hint="eastAsia" w:ascii="Times New Roman" w:hAnsi="Times New Roman" w:eastAsia="仿宋_GB2312"/>
                <w:color w:val="auto"/>
                <w:szCs w:val="21"/>
              </w:rPr>
              <w:t>320217506000</w:t>
            </w:r>
          </w:p>
        </w:tc>
        <w:tc>
          <w:tcPr>
            <w:tcW w:w="1481" w:type="dxa"/>
            <w:tcBorders>
              <w:top w:val="single" w:color="auto" w:sz="4" w:space="0"/>
              <w:left w:val="single" w:color="auto" w:sz="4" w:space="0"/>
              <w:bottom w:val="single" w:color="auto" w:sz="4" w:space="0"/>
              <w:right w:val="single" w:color="auto" w:sz="4" w:space="0"/>
            </w:tcBorders>
            <w:shd w:val="clear" w:color="auto" w:fill="auto"/>
            <w:vAlign w:val="center"/>
          </w:tcPr>
          <w:p w14:paraId="3D365C1A">
            <w:pPr>
              <w:widowControl/>
              <w:autoSpaceDE w:val="0"/>
              <w:autoSpaceDN w:val="0"/>
              <w:spacing w:line="280" w:lineRule="exact"/>
              <w:rPr>
                <w:rFonts w:ascii="Times New Roman" w:hAnsi="Times New Roman" w:eastAsia="仿宋_GB2312"/>
                <w:color w:val="auto"/>
                <w:szCs w:val="21"/>
              </w:rPr>
            </w:pPr>
            <w:r>
              <w:rPr>
                <w:rFonts w:hint="eastAsia" w:ascii="Times New Roman" w:hAnsi="Times New Roman" w:eastAsia="仿宋_GB2312"/>
                <w:color w:val="auto"/>
                <w:szCs w:val="21"/>
              </w:rPr>
              <w:t>对招标人向他人透露已获取招标文件的潜在投标人的名称、数量或者可能影响公平竞争的有关招标投标的其他情况的，或者泄露标底的处罚</w:t>
            </w:r>
          </w:p>
        </w:tc>
        <w:tc>
          <w:tcPr>
            <w:tcW w:w="622" w:type="dxa"/>
            <w:tcBorders>
              <w:left w:val="single" w:color="auto" w:sz="4" w:space="0"/>
              <w:right w:val="single" w:color="auto" w:sz="4" w:space="0"/>
            </w:tcBorders>
            <w:shd w:val="clear" w:color="auto" w:fill="auto"/>
            <w:vAlign w:val="center"/>
          </w:tcPr>
          <w:p w14:paraId="6BFB9073">
            <w:pPr>
              <w:spacing w:line="280" w:lineRule="exact"/>
              <w:jc w:val="center"/>
              <w:rPr>
                <w:rFonts w:ascii="Times New Roman" w:hAnsi="Times New Roman" w:eastAsia="仿宋_GB2312"/>
                <w:color w:val="auto"/>
                <w:kern w:val="0"/>
                <w:szCs w:val="21"/>
              </w:rPr>
            </w:pPr>
          </w:p>
        </w:tc>
      </w:tr>
      <w:tr w14:paraId="4B7C4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2" w:hRule="atLeast"/>
          <w:jc w:val="center"/>
        </w:trPr>
        <w:tc>
          <w:tcPr>
            <w:tcW w:w="536" w:type="dxa"/>
            <w:vMerge w:val="continue"/>
            <w:tcBorders>
              <w:left w:val="single" w:color="auto" w:sz="4" w:space="0"/>
              <w:right w:val="single" w:color="auto" w:sz="4" w:space="0"/>
            </w:tcBorders>
            <w:shd w:val="clear" w:color="auto" w:fill="auto"/>
            <w:vAlign w:val="center"/>
          </w:tcPr>
          <w:p w14:paraId="3B0C6A2C">
            <w:pPr>
              <w:widowControl/>
              <w:autoSpaceDE w:val="0"/>
              <w:autoSpaceDN w:val="0"/>
              <w:spacing w:line="280" w:lineRule="exact"/>
              <w:jc w:val="left"/>
              <w:rPr>
                <w:rFonts w:ascii="Times New Roman" w:hAnsi="Times New Roman" w:eastAsia="仿宋_GB2312"/>
                <w:color w:val="auto"/>
                <w:szCs w:val="21"/>
              </w:rPr>
            </w:pPr>
          </w:p>
        </w:tc>
        <w:tc>
          <w:tcPr>
            <w:tcW w:w="1324" w:type="dxa"/>
            <w:vMerge w:val="continue"/>
            <w:tcBorders>
              <w:left w:val="single" w:color="auto" w:sz="4" w:space="0"/>
              <w:right w:val="single" w:color="auto" w:sz="4" w:space="0"/>
            </w:tcBorders>
            <w:shd w:val="clear" w:color="auto" w:fill="auto"/>
            <w:vAlign w:val="center"/>
          </w:tcPr>
          <w:p w14:paraId="4AB2267D">
            <w:pPr>
              <w:widowControl/>
              <w:autoSpaceDE w:val="0"/>
              <w:autoSpaceDN w:val="0"/>
              <w:spacing w:line="280" w:lineRule="exact"/>
              <w:jc w:val="left"/>
              <w:rPr>
                <w:rFonts w:ascii="Times New Roman" w:hAnsi="Times New Roman" w:eastAsia="仿宋_GB2312"/>
                <w:color w:val="auto"/>
                <w:szCs w:val="21"/>
              </w:rPr>
            </w:pPr>
          </w:p>
        </w:tc>
        <w:tc>
          <w:tcPr>
            <w:tcW w:w="794" w:type="dxa"/>
            <w:vMerge w:val="continue"/>
            <w:tcBorders>
              <w:left w:val="single" w:color="auto" w:sz="4" w:space="0"/>
              <w:right w:val="single" w:color="auto" w:sz="4" w:space="0"/>
            </w:tcBorders>
            <w:shd w:val="clear" w:color="auto" w:fill="auto"/>
            <w:vAlign w:val="center"/>
          </w:tcPr>
          <w:p w14:paraId="412E5A08">
            <w:pPr>
              <w:widowControl/>
              <w:autoSpaceDE w:val="0"/>
              <w:autoSpaceDN w:val="0"/>
              <w:spacing w:line="280" w:lineRule="exact"/>
              <w:jc w:val="left"/>
              <w:rPr>
                <w:rFonts w:ascii="Times New Roman" w:hAnsi="Times New Roman" w:eastAsia="仿宋_GB2312"/>
                <w:color w:val="auto"/>
                <w:szCs w:val="21"/>
              </w:rPr>
            </w:pPr>
          </w:p>
        </w:tc>
        <w:tc>
          <w:tcPr>
            <w:tcW w:w="872" w:type="dxa"/>
            <w:vMerge w:val="continue"/>
            <w:tcBorders>
              <w:left w:val="single" w:color="auto" w:sz="4" w:space="0"/>
              <w:right w:val="single" w:color="auto" w:sz="4" w:space="0"/>
            </w:tcBorders>
            <w:shd w:val="clear" w:color="auto" w:fill="auto"/>
            <w:vAlign w:val="center"/>
          </w:tcPr>
          <w:p w14:paraId="1E0BC0F1">
            <w:pPr>
              <w:widowControl/>
              <w:autoSpaceDE w:val="0"/>
              <w:autoSpaceDN w:val="0"/>
              <w:spacing w:line="280" w:lineRule="exact"/>
              <w:jc w:val="left"/>
              <w:rPr>
                <w:rFonts w:ascii="Times New Roman" w:hAnsi="Times New Roman" w:eastAsia="仿宋_GB2312"/>
                <w:color w:val="auto"/>
                <w:szCs w:val="21"/>
              </w:rPr>
            </w:pPr>
          </w:p>
        </w:tc>
        <w:tc>
          <w:tcPr>
            <w:tcW w:w="869" w:type="dxa"/>
            <w:vMerge w:val="continue"/>
            <w:tcBorders>
              <w:left w:val="single" w:color="auto" w:sz="4" w:space="0"/>
              <w:right w:val="single" w:color="auto" w:sz="4" w:space="0"/>
            </w:tcBorders>
            <w:shd w:val="clear" w:color="auto" w:fill="auto"/>
            <w:vAlign w:val="center"/>
          </w:tcPr>
          <w:p w14:paraId="00535CD8">
            <w:pPr>
              <w:widowControl/>
              <w:autoSpaceDE w:val="0"/>
              <w:autoSpaceDN w:val="0"/>
              <w:spacing w:line="280" w:lineRule="exact"/>
              <w:jc w:val="left"/>
              <w:rPr>
                <w:rFonts w:ascii="Times New Roman" w:hAnsi="Times New Roman" w:eastAsia="仿宋_GB2312"/>
                <w:color w:val="auto"/>
                <w:szCs w:val="21"/>
              </w:rPr>
            </w:pPr>
          </w:p>
        </w:tc>
        <w:tc>
          <w:tcPr>
            <w:tcW w:w="4962" w:type="dxa"/>
            <w:vMerge w:val="continue"/>
            <w:tcBorders>
              <w:left w:val="single" w:color="auto" w:sz="4" w:space="0"/>
              <w:right w:val="single" w:color="auto" w:sz="4" w:space="0"/>
            </w:tcBorders>
            <w:shd w:val="clear" w:color="auto" w:fill="auto"/>
            <w:vAlign w:val="center"/>
          </w:tcPr>
          <w:p w14:paraId="766762B3">
            <w:pPr>
              <w:widowControl/>
              <w:autoSpaceDE w:val="0"/>
              <w:autoSpaceDN w:val="0"/>
              <w:spacing w:line="280" w:lineRule="exact"/>
              <w:jc w:val="left"/>
              <w:rPr>
                <w:rFonts w:ascii="Times New Roman" w:hAnsi="Times New Roman" w:eastAsia="仿宋_GB2312"/>
                <w:color w:val="auto"/>
                <w:szCs w:val="21"/>
              </w:rPr>
            </w:pPr>
          </w:p>
        </w:tc>
        <w:tc>
          <w:tcPr>
            <w:tcW w:w="992" w:type="dxa"/>
            <w:vMerge w:val="continue"/>
            <w:tcBorders>
              <w:left w:val="single" w:color="auto" w:sz="4" w:space="0"/>
              <w:right w:val="single" w:color="auto" w:sz="4" w:space="0"/>
            </w:tcBorders>
            <w:shd w:val="clear" w:color="auto" w:fill="auto"/>
            <w:vAlign w:val="center"/>
          </w:tcPr>
          <w:p w14:paraId="5B0E8CF3">
            <w:pPr>
              <w:widowControl/>
              <w:autoSpaceDE w:val="0"/>
              <w:autoSpaceDN w:val="0"/>
              <w:spacing w:line="280" w:lineRule="exact"/>
              <w:jc w:val="left"/>
              <w:rPr>
                <w:rFonts w:ascii="Times New Roman" w:hAnsi="Times New Roman" w:eastAsia="仿宋_GB2312"/>
                <w:color w:val="auto"/>
                <w:szCs w:val="21"/>
              </w:rPr>
            </w:pPr>
          </w:p>
        </w:tc>
        <w:tc>
          <w:tcPr>
            <w:tcW w:w="1139" w:type="dxa"/>
            <w:vMerge w:val="continue"/>
            <w:tcBorders>
              <w:left w:val="single" w:color="auto" w:sz="4" w:space="0"/>
              <w:right w:val="single" w:color="auto" w:sz="4" w:space="0"/>
            </w:tcBorders>
            <w:shd w:val="clear" w:color="auto" w:fill="auto"/>
            <w:vAlign w:val="center"/>
          </w:tcPr>
          <w:p w14:paraId="79102873">
            <w:pPr>
              <w:widowControl/>
              <w:autoSpaceDE w:val="0"/>
              <w:autoSpaceDN w:val="0"/>
              <w:spacing w:line="280" w:lineRule="exact"/>
              <w:jc w:val="center"/>
              <w:rPr>
                <w:rFonts w:ascii="Times New Roman" w:hAnsi="Times New Roman" w:eastAsia="仿宋_GB2312"/>
                <w:color w:val="auto"/>
                <w:szCs w:val="21"/>
              </w:rPr>
            </w:pPr>
          </w:p>
        </w:tc>
        <w:tc>
          <w:tcPr>
            <w:tcW w:w="1491" w:type="dxa"/>
            <w:tcBorders>
              <w:top w:val="single" w:color="auto" w:sz="4" w:space="0"/>
              <w:left w:val="single" w:color="auto" w:sz="4" w:space="0"/>
              <w:bottom w:val="single" w:color="auto" w:sz="4" w:space="0"/>
              <w:right w:val="single" w:color="auto" w:sz="4" w:space="0"/>
            </w:tcBorders>
            <w:shd w:val="clear" w:color="auto" w:fill="auto"/>
            <w:vAlign w:val="center"/>
          </w:tcPr>
          <w:p w14:paraId="16E2B1FD">
            <w:pPr>
              <w:widowControl/>
              <w:autoSpaceDE w:val="0"/>
              <w:autoSpaceDN w:val="0"/>
              <w:spacing w:line="280" w:lineRule="exact"/>
              <w:jc w:val="center"/>
              <w:rPr>
                <w:rFonts w:ascii="Times New Roman" w:hAnsi="Times New Roman" w:eastAsia="仿宋_GB2312"/>
                <w:color w:val="auto"/>
                <w:szCs w:val="21"/>
              </w:rPr>
            </w:pPr>
            <w:r>
              <w:rPr>
                <w:rFonts w:hint="eastAsia" w:ascii="Times New Roman" w:hAnsi="Times New Roman" w:eastAsia="仿宋_GB2312"/>
                <w:color w:val="auto"/>
                <w:szCs w:val="21"/>
              </w:rPr>
              <w:t>320217475000</w:t>
            </w:r>
          </w:p>
        </w:tc>
        <w:tc>
          <w:tcPr>
            <w:tcW w:w="1481" w:type="dxa"/>
            <w:tcBorders>
              <w:top w:val="single" w:color="auto" w:sz="4" w:space="0"/>
              <w:left w:val="single" w:color="auto" w:sz="4" w:space="0"/>
              <w:bottom w:val="single" w:color="auto" w:sz="4" w:space="0"/>
              <w:right w:val="single" w:color="auto" w:sz="4" w:space="0"/>
            </w:tcBorders>
            <w:shd w:val="clear" w:color="auto" w:fill="auto"/>
            <w:vAlign w:val="center"/>
          </w:tcPr>
          <w:p w14:paraId="0A68A71A">
            <w:pPr>
              <w:widowControl/>
              <w:autoSpaceDE w:val="0"/>
              <w:autoSpaceDN w:val="0"/>
              <w:spacing w:line="280" w:lineRule="exact"/>
              <w:rPr>
                <w:rFonts w:ascii="Times New Roman" w:hAnsi="Times New Roman" w:eastAsia="仿宋_GB2312"/>
                <w:color w:val="auto"/>
                <w:szCs w:val="21"/>
              </w:rPr>
            </w:pPr>
            <w:r>
              <w:rPr>
                <w:rFonts w:hint="eastAsia" w:ascii="Times New Roman" w:hAnsi="Times New Roman" w:eastAsia="仿宋_GB2312"/>
                <w:color w:val="auto"/>
                <w:szCs w:val="21"/>
              </w:rPr>
              <w:t>对中标人不按照与招标人订立的合同履行义务，情节严重的处罚</w:t>
            </w:r>
          </w:p>
        </w:tc>
        <w:tc>
          <w:tcPr>
            <w:tcW w:w="622" w:type="dxa"/>
            <w:tcBorders>
              <w:left w:val="single" w:color="auto" w:sz="4" w:space="0"/>
              <w:right w:val="single" w:color="auto" w:sz="4" w:space="0"/>
            </w:tcBorders>
            <w:shd w:val="clear" w:color="auto" w:fill="auto"/>
            <w:vAlign w:val="center"/>
          </w:tcPr>
          <w:p w14:paraId="5C78E7A4">
            <w:pPr>
              <w:spacing w:line="280" w:lineRule="exact"/>
              <w:jc w:val="center"/>
              <w:rPr>
                <w:rFonts w:ascii="Times New Roman" w:hAnsi="Times New Roman" w:eastAsia="仿宋_GB2312"/>
                <w:color w:val="auto"/>
                <w:kern w:val="0"/>
                <w:szCs w:val="21"/>
              </w:rPr>
            </w:pPr>
          </w:p>
        </w:tc>
      </w:tr>
      <w:tr w14:paraId="13FC8F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8" w:hRule="atLeast"/>
          <w:jc w:val="center"/>
        </w:trPr>
        <w:tc>
          <w:tcPr>
            <w:tcW w:w="536" w:type="dxa"/>
            <w:vMerge w:val="continue"/>
            <w:tcBorders>
              <w:left w:val="single" w:color="auto" w:sz="4" w:space="0"/>
              <w:bottom w:val="single" w:color="auto" w:sz="4" w:space="0"/>
              <w:right w:val="single" w:color="auto" w:sz="4" w:space="0"/>
            </w:tcBorders>
            <w:shd w:val="clear" w:color="auto" w:fill="auto"/>
            <w:vAlign w:val="center"/>
          </w:tcPr>
          <w:p w14:paraId="5658B3F2">
            <w:pPr>
              <w:widowControl/>
              <w:autoSpaceDE w:val="0"/>
              <w:autoSpaceDN w:val="0"/>
              <w:spacing w:line="280" w:lineRule="exact"/>
              <w:jc w:val="left"/>
              <w:rPr>
                <w:rFonts w:ascii="Times New Roman" w:hAnsi="Times New Roman" w:eastAsia="仿宋_GB2312"/>
                <w:color w:val="auto"/>
                <w:szCs w:val="21"/>
              </w:rPr>
            </w:pPr>
          </w:p>
        </w:tc>
        <w:tc>
          <w:tcPr>
            <w:tcW w:w="1324" w:type="dxa"/>
            <w:vMerge w:val="continue"/>
            <w:tcBorders>
              <w:left w:val="single" w:color="auto" w:sz="4" w:space="0"/>
              <w:bottom w:val="single" w:color="auto" w:sz="4" w:space="0"/>
              <w:right w:val="single" w:color="auto" w:sz="4" w:space="0"/>
            </w:tcBorders>
            <w:shd w:val="clear" w:color="auto" w:fill="auto"/>
            <w:vAlign w:val="center"/>
          </w:tcPr>
          <w:p w14:paraId="21405266">
            <w:pPr>
              <w:widowControl/>
              <w:autoSpaceDE w:val="0"/>
              <w:autoSpaceDN w:val="0"/>
              <w:spacing w:line="280" w:lineRule="exact"/>
              <w:jc w:val="left"/>
              <w:rPr>
                <w:rFonts w:ascii="Times New Roman" w:hAnsi="Times New Roman" w:eastAsia="仿宋_GB2312"/>
                <w:color w:val="auto"/>
                <w:szCs w:val="21"/>
              </w:rPr>
            </w:pPr>
          </w:p>
        </w:tc>
        <w:tc>
          <w:tcPr>
            <w:tcW w:w="794" w:type="dxa"/>
            <w:vMerge w:val="continue"/>
            <w:tcBorders>
              <w:left w:val="single" w:color="auto" w:sz="4" w:space="0"/>
              <w:bottom w:val="single" w:color="auto" w:sz="4" w:space="0"/>
              <w:right w:val="single" w:color="auto" w:sz="4" w:space="0"/>
            </w:tcBorders>
            <w:shd w:val="clear" w:color="auto" w:fill="auto"/>
            <w:vAlign w:val="center"/>
          </w:tcPr>
          <w:p w14:paraId="0BB6B689">
            <w:pPr>
              <w:widowControl/>
              <w:autoSpaceDE w:val="0"/>
              <w:autoSpaceDN w:val="0"/>
              <w:spacing w:line="280" w:lineRule="exact"/>
              <w:jc w:val="left"/>
              <w:rPr>
                <w:rFonts w:ascii="Times New Roman" w:hAnsi="Times New Roman" w:eastAsia="仿宋_GB2312"/>
                <w:color w:val="auto"/>
                <w:szCs w:val="21"/>
              </w:rPr>
            </w:pPr>
          </w:p>
        </w:tc>
        <w:tc>
          <w:tcPr>
            <w:tcW w:w="872" w:type="dxa"/>
            <w:vMerge w:val="continue"/>
            <w:tcBorders>
              <w:left w:val="single" w:color="auto" w:sz="4" w:space="0"/>
              <w:bottom w:val="single" w:color="auto" w:sz="4" w:space="0"/>
              <w:right w:val="single" w:color="auto" w:sz="4" w:space="0"/>
            </w:tcBorders>
            <w:shd w:val="clear" w:color="auto" w:fill="auto"/>
            <w:vAlign w:val="center"/>
          </w:tcPr>
          <w:p w14:paraId="20C67212">
            <w:pPr>
              <w:widowControl/>
              <w:autoSpaceDE w:val="0"/>
              <w:autoSpaceDN w:val="0"/>
              <w:spacing w:line="280" w:lineRule="exact"/>
              <w:jc w:val="left"/>
              <w:rPr>
                <w:rFonts w:ascii="Times New Roman" w:hAnsi="Times New Roman" w:eastAsia="仿宋_GB2312"/>
                <w:color w:val="auto"/>
                <w:szCs w:val="21"/>
              </w:rPr>
            </w:pPr>
          </w:p>
        </w:tc>
        <w:tc>
          <w:tcPr>
            <w:tcW w:w="869" w:type="dxa"/>
            <w:vMerge w:val="continue"/>
            <w:tcBorders>
              <w:left w:val="single" w:color="auto" w:sz="4" w:space="0"/>
              <w:bottom w:val="single" w:color="auto" w:sz="4" w:space="0"/>
              <w:right w:val="single" w:color="auto" w:sz="4" w:space="0"/>
            </w:tcBorders>
            <w:shd w:val="clear" w:color="auto" w:fill="auto"/>
            <w:vAlign w:val="center"/>
          </w:tcPr>
          <w:p w14:paraId="7C56175F">
            <w:pPr>
              <w:widowControl/>
              <w:autoSpaceDE w:val="0"/>
              <w:autoSpaceDN w:val="0"/>
              <w:spacing w:line="280" w:lineRule="exact"/>
              <w:jc w:val="left"/>
              <w:rPr>
                <w:rFonts w:ascii="Times New Roman" w:hAnsi="Times New Roman" w:eastAsia="仿宋_GB2312"/>
                <w:color w:val="auto"/>
                <w:szCs w:val="21"/>
              </w:rPr>
            </w:pPr>
          </w:p>
        </w:tc>
        <w:tc>
          <w:tcPr>
            <w:tcW w:w="4962" w:type="dxa"/>
            <w:vMerge w:val="continue"/>
            <w:tcBorders>
              <w:left w:val="single" w:color="auto" w:sz="4" w:space="0"/>
              <w:bottom w:val="single" w:color="auto" w:sz="4" w:space="0"/>
              <w:right w:val="single" w:color="auto" w:sz="4" w:space="0"/>
            </w:tcBorders>
            <w:shd w:val="clear" w:color="auto" w:fill="auto"/>
            <w:vAlign w:val="center"/>
          </w:tcPr>
          <w:p w14:paraId="5008E019">
            <w:pPr>
              <w:widowControl/>
              <w:autoSpaceDE w:val="0"/>
              <w:autoSpaceDN w:val="0"/>
              <w:spacing w:line="280" w:lineRule="exact"/>
              <w:jc w:val="left"/>
              <w:rPr>
                <w:rFonts w:ascii="Times New Roman" w:hAnsi="Times New Roman" w:eastAsia="仿宋_GB2312"/>
                <w:color w:val="auto"/>
                <w:szCs w:val="21"/>
              </w:rPr>
            </w:pPr>
          </w:p>
        </w:tc>
        <w:tc>
          <w:tcPr>
            <w:tcW w:w="992" w:type="dxa"/>
            <w:vMerge w:val="continue"/>
            <w:tcBorders>
              <w:left w:val="single" w:color="auto" w:sz="4" w:space="0"/>
              <w:bottom w:val="single" w:color="auto" w:sz="4" w:space="0"/>
              <w:right w:val="single" w:color="auto" w:sz="4" w:space="0"/>
            </w:tcBorders>
            <w:shd w:val="clear" w:color="auto" w:fill="auto"/>
            <w:vAlign w:val="center"/>
          </w:tcPr>
          <w:p w14:paraId="7C93BD86">
            <w:pPr>
              <w:widowControl/>
              <w:autoSpaceDE w:val="0"/>
              <w:autoSpaceDN w:val="0"/>
              <w:spacing w:line="280" w:lineRule="exact"/>
              <w:jc w:val="left"/>
              <w:rPr>
                <w:rFonts w:ascii="Times New Roman" w:hAnsi="Times New Roman" w:eastAsia="仿宋_GB2312"/>
                <w:color w:val="auto"/>
                <w:szCs w:val="21"/>
              </w:rPr>
            </w:pPr>
          </w:p>
        </w:tc>
        <w:tc>
          <w:tcPr>
            <w:tcW w:w="1139" w:type="dxa"/>
            <w:vMerge w:val="continue"/>
            <w:tcBorders>
              <w:left w:val="single" w:color="auto" w:sz="4" w:space="0"/>
              <w:bottom w:val="single" w:color="auto" w:sz="4" w:space="0"/>
              <w:right w:val="single" w:color="auto" w:sz="4" w:space="0"/>
            </w:tcBorders>
            <w:shd w:val="clear" w:color="auto" w:fill="auto"/>
            <w:vAlign w:val="center"/>
          </w:tcPr>
          <w:p w14:paraId="4D5AC92F">
            <w:pPr>
              <w:widowControl/>
              <w:autoSpaceDE w:val="0"/>
              <w:autoSpaceDN w:val="0"/>
              <w:spacing w:line="280" w:lineRule="exact"/>
              <w:jc w:val="center"/>
              <w:rPr>
                <w:rFonts w:ascii="Times New Roman" w:hAnsi="Times New Roman" w:eastAsia="仿宋_GB2312"/>
                <w:color w:val="auto"/>
                <w:szCs w:val="21"/>
              </w:rPr>
            </w:pPr>
          </w:p>
        </w:tc>
        <w:tc>
          <w:tcPr>
            <w:tcW w:w="1491" w:type="dxa"/>
            <w:tcBorders>
              <w:top w:val="single" w:color="auto" w:sz="4" w:space="0"/>
              <w:left w:val="single" w:color="auto" w:sz="4" w:space="0"/>
              <w:bottom w:val="single" w:color="auto" w:sz="4" w:space="0"/>
              <w:right w:val="single" w:color="auto" w:sz="4" w:space="0"/>
            </w:tcBorders>
            <w:shd w:val="clear" w:color="auto" w:fill="auto"/>
            <w:vAlign w:val="center"/>
          </w:tcPr>
          <w:p w14:paraId="0ABC6572">
            <w:pPr>
              <w:widowControl/>
              <w:autoSpaceDE w:val="0"/>
              <w:autoSpaceDN w:val="0"/>
              <w:spacing w:line="280" w:lineRule="exact"/>
              <w:jc w:val="center"/>
              <w:rPr>
                <w:rFonts w:ascii="Times New Roman" w:hAnsi="Times New Roman" w:eastAsia="仿宋_GB2312"/>
                <w:color w:val="auto"/>
                <w:szCs w:val="21"/>
              </w:rPr>
            </w:pPr>
            <w:r>
              <w:rPr>
                <w:rFonts w:hint="eastAsia" w:ascii="Times New Roman" w:hAnsi="Times New Roman" w:eastAsia="仿宋_GB2312"/>
                <w:color w:val="auto"/>
                <w:szCs w:val="21"/>
              </w:rPr>
              <w:t>320217400000</w:t>
            </w:r>
          </w:p>
        </w:tc>
        <w:tc>
          <w:tcPr>
            <w:tcW w:w="1481" w:type="dxa"/>
            <w:tcBorders>
              <w:top w:val="single" w:color="auto" w:sz="4" w:space="0"/>
              <w:left w:val="single" w:color="auto" w:sz="4" w:space="0"/>
              <w:bottom w:val="single" w:color="auto" w:sz="4" w:space="0"/>
              <w:right w:val="single" w:color="auto" w:sz="4" w:space="0"/>
            </w:tcBorders>
            <w:shd w:val="clear" w:color="auto" w:fill="auto"/>
            <w:vAlign w:val="center"/>
          </w:tcPr>
          <w:p w14:paraId="67F67525">
            <w:pPr>
              <w:widowControl/>
              <w:autoSpaceDE w:val="0"/>
              <w:autoSpaceDN w:val="0"/>
              <w:spacing w:line="280" w:lineRule="exact"/>
              <w:rPr>
                <w:rFonts w:ascii="Times New Roman" w:hAnsi="Times New Roman" w:eastAsia="仿宋_GB2312"/>
                <w:color w:val="auto"/>
                <w:szCs w:val="21"/>
              </w:rPr>
            </w:pPr>
            <w:r>
              <w:rPr>
                <w:rFonts w:hint="eastAsia" w:ascii="Times New Roman" w:hAnsi="Times New Roman" w:eastAsia="仿宋_GB2312"/>
                <w:color w:val="auto"/>
                <w:szCs w:val="21"/>
              </w:rPr>
              <w:t>对招标人将必须进行招标的项目不招标的、将必须进行招标的项目</w:t>
            </w:r>
          </w:p>
        </w:tc>
        <w:tc>
          <w:tcPr>
            <w:tcW w:w="622" w:type="dxa"/>
            <w:tcBorders>
              <w:left w:val="single" w:color="auto" w:sz="4" w:space="0"/>
              <w:right w:val="single" w:color="auto" w:sz="4" w:space="0"/>
            </w:tcBorders>
            <w:shd w:val="clear" w:color="auto" w:fill="auto"/>
            <w:vAlign w:val="center"/>
          </w:tcPr>
          <w:p w14:paraId="71904269">
            <w:pPr>
              <w:spacing w:line="280" w:lineRule="exact"/>
              <w:jc w:val="center"/>
              <w:rPr>
                <w:rFonts w:ascii="Times New Roman" w:hAnsi="Times New Roman" w:eastAsia="仿宋_GB2312"/>
                <w:color w:val="auto"/>
                <w:kern w:val="0"/>
                <w:szCs w:val="21"/>
              </w:rPr>
            </w:pPr>
          </w:p>
        </w:tc>
      </w:tr>
      <w:tr w14:paraId="7AFC4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8" w:hRule="atLeast"/>
          <w:jc w:val="center"/>
        </w:trPr>
        <w:tc>
          <w:tcPr>
            <w:tcW w:w="536" w:type="dxa"/>
            <w:vMerge w:val="restart"/>
            <w:tcBorders>
              <w:top w:val="single" w:color="auto" w:sz="4" w:space="0"/>
              <w:left w:val="single" w:color="auto" w:sz="4" w:space="0"/>
              <w:right w:val="single" w:color="auto" w:sz="4" w:space="0"/>
            </w:tcBorders>
            <w:shd w:val="clear" w:color="auto" w:fill="auto"/>
            <w:vAlign w:val="center"/>
          </w:tcPr>
          <w:p w14:paraId="0F173228">
            <w:pPr>
              <w:widowControl/>
              <w:autoSpaceDE w:val="0"/>
              <w:autoSpaceDN w:val="0"/>
              <w:spacing w:line="280" w:lineRule="exact"/>
              <w:jc w:val="center"/>
              <w:rPr>
                <w:rFonts w:ascii="Times New Roman" w:hAnsi="Times New Roman" w:eastAsia="仿宋_GB2312"/>
                <w:color w:val="auto"/>
                <w:szCs w:val="21"/>
              </w:rPr>
            </w:pPr>
            <w:r>
              <w:rPr>
                <w:rFonts w:hint="eastAsia" w:ascii="Times New Roman" w:hAnsi="Times New Roman" w:eastAsia="仿宋_GB2312"/>
                <w:color w:val="auto"/>
                <w:szCs w:val="21"/>
              </w:rPr>
              <w:t>3</w:t>
            </w:r>
          </w:p>
        </w:tc>
        <w:tc>
          <w:tcPr>
            <w:tcW w:w="1324" w:type="dxa"/>
            <w:vMerge w:val="restart"/>
            <w:tcBorders>
              <w:top w:val="single" w:color="auto" w:sz="4" w:space="0"/>
              <w:left w:val="single" w:color="auto" w:sz="4" w:space="0"/>
              <w:right w:val="single" w:color="auto" w:sz="4" w:space="0"/>
            </w:tcBorders>
            <w:shd w:val="clear" w:color="auto" w:fill="auto"/>
            <w:vAlign w:val="center"/>
          </w:tcPr>
          <w:p w14:paraId="691D627F">
            <w:pPr>
              <w:widowControl/>
              <w:autoSpaceDE w:val="0"/>
              <w:autoSpaceDN w:val="0"/>
              <w:spacing w:line="280" w:lineRule="exact"/>
              <w:jc w:val="left"/>
              <w:rPr>
                <w:rFonts w:ascii="Times New Roman" w:hAnsi="Times New Roman" w:eastAsia="仿宋_GB2312"/>
                <w:color w:val="auto"/>
                <w:szCs w:val="21"/>
              </w:rPr>
            </w:pPr>
            <w:r>
              <w:rPr>
                <w:rFonts w:hint="eastAsia" w:ascii="Times New Roman" w:hAnsi="Times New Roman" w:eastAsia="仿宋_GB2312"/>
                <w:color w:val="auto"/>
                <w:szCs w:val="21"/>
              </w:rPr>
              <w:t>对建设工程项目勘察、设计、施工、监理及与工程建设有关的重要设备、材料采购的招标投标活动的行政监督和对招标代理机构的行政检查</w:t>
            </w:r>
          </w:p>
        </w:tc>
        <w:tc>
          <w:tcPr>
            <w:tcW w:w="794" w:type="dxa"/>
            <w:vMerge w:val="restart"/>
            <w:tcBorders>
              <w:top w:val="single" w:color="auto" w:sz="4" w:space="0"/>
              <w:left w:val="single" w:color="auto" w:sz="4" w:space="0"/>
              <w:right w:val="single" w:color="auto" w:sz="4" w:space="0"/>
            </w:tcBorders>
            <w:shd w:val="clear" w:color="auto" w:fill="auto"/>
            <w:vAlign w:val="center"/>
          </w:tcPr>
          <w:p w14:paraId="381EC1C5">
            <w:pPr>
              <w:widowControl/>
              <w:autoSpaceDE w:val="0"/>
              <w:autoSpaceDN w:val="0"/>
              <w:spacing w:line="280" w:lineRule="exact"/>
              <w:jc w:val="center"/>
              <w:rPr>
                <w:rFonts w:ascii="Times New Roman" w:hAnsi="Times New Roman" w:eastAsia="仿宋_GB2312"/>
                <w:color w:val="auto"/>
                <w:szCs w:val="21"/>
              </w:rPr>
            </w:pPr>
            <w:r>
              <w:rPr>
                <w:rFonts w:hint="eastAsia" w:ascii="Times New Roman" w:hAnsi="Times New Roman" w:eastAsia="仿宋_GB2312"/>
                <w:color w:val="auto"/>
                <w:szCs w:val="21"/>
              </w:rPr>
              <w:t>苏州市相城区住房和城乡建设局</w:t>
            </w:r>
          </w:p>
        </w:tc>
        <w:tc>
          <w:tcPr>
            <w:tcW w:w="872" w:type="dxa"/>
            <w:vMerge w:val="restart"/>
            <w:tcBorders>
              <w:top w:val="single" w:color="auto" w:sz="4" w:space="0"/>
              <w:left w:val="single" w:color="auto" w:sz="4" w:space="0"/>
              <w:right w:val="single" w:color="auto" w:sz="4" w:space="0"/>
            </w:tcBorders>
            <w:shd w:val="clear" w:color="auto" w:fill="auto"/>
            <w:vAlign w:val="center"/>
          </w:tcPr>
          <w:p w14:paraId="6033341F">
            <w:pPr>
              <w:widowControl/>
              <w:autoSpaceDE w:val="0"/>
              <w:autoSpaceDN w:val="0"/>
              <w:spacing w:line="280" w:lineRule="exact"/>
              <w:jc w:val="left"/>
              <w:rPr>
                <w:rFonts w:ascii="Times New Roman" w:hAnsi="Times New Roman" w:eastAsia="仿宋_GB2312"/>
                <w:color w:val="auto"/>
                <w:szCs w:val="21"/>
              </w:rPr>
            </w:pPr>
            <w:r>
              <w:rPr>
                <w:rFonts w:hint="eastAsia" w:ascii="Times New Roman" w:hAnsi="Times New Roman" w:eastAsia="仿宋_GB2312"/>
                <w:color w:val="auto"/>
                <w:szCs w:val="21"/>
              </w:rPr>
              <w:t>相城区招投标管理服务中心</w:t>
            </w:r>
          </w:p>
        </w:tc>
        <w:tc>
          <w:tcPr>
            <w:tcW w:w="869" w:type="dxa"/>
            <w:vMerge w:val="restart"/>
            <w:tcBorders>
              <w:top w:val="single" w:color="auto" w:sz="4" w:space="0"/>
              <w:left w:val="single" w:color="auto" w:sz="4" w:space="0"/>
              <w:right w:val="single" w:color="auto" w:sz="4" w:space="0"/>
            </w:tcBorders>
            <w:shd w:val="clear" w:color="auto" w:fill="auto"/>
            <w:vAlign w:val="center"/>
          </w:tcPr>
          <w:p w14:paraId="12B22E8F">
            <w:pPr>
              <w:widowControl/>
              <w:autoSpaceDE w:val="0"/>
              <w:autoSpaceDN w:val="0"/>
              <w:spacing w:line="280" w:lineRule="exact"/>
              <w:jc w:val="left"/>
              <w:rPr>
                <w:rFonts w:ascii="Times New Roman" w:hAnsi="Times New Roman" w:eastAsia="仿宋_GB2312"/>
                <w:color w:val="auto"/>
                <w:szCs w:val="21"/>
              </w:rPr>
            </w:pPr>
            <w:r>
              <w:rPr>
                <w:rFonts w:hint="eastAsia" w:ascii="Times New Roman" w:hAnsi="Times New Roman" w:eastAsia="仿宋_GB2312"/>
                <w:color w:val="auto"/>
                <w:szCs w:val="21"/>
              </w:rPr>
              <w:t>招标人、招标代理机构、投标人、中标人、评标委员会</w:t>
            </w:r>
          </w:p>
        </w:tc>
        <w:tc>
          <w:tcPr>
            <w:tcW w:w="4962" w:type="dxa"/>
            <w:vMerge w:val="restart"/>
            <w:tcBorders>
              <w:top w:val="single" w:color="auto" w:sz="4" w:space="0"/>
              <w:left w:val="single" w:color="auto" w:sz="4" w:space="0"/>
              <w:right w:val="single" w:color="auto" w:sz="4" w:space="0"/>
            </w:tcBorders>
            <w:shd w:val="clear" w:color="auto" w:fill="auto"/>
            <w:vAlign w:val="center"/>
          </w:tcPr>
          <w:p w14:paraId="27F6338F">
            <w:pPr>
              <w:widowControl/>
              <w:autoSpaceDE w:val="0"/>
              <w:autoSpaceDN w:val="0"/>
              <w:spacing w:line="280" w:lineRule="exact"/>
              <w:jc w:val="left"/>
              <w:rPr>
                <w:rFonts w:ascii="Times New Roman" w:hAnsi="Times New Roman" w:eastAsia="仿宋_GB2312"/>
                <w:color w:val="auto"/>
                <w:szCs w:val="21"/>
              </w:rPr>
            </w:pPr>
            <w:r>
              <w:rPr>
                <w:rFonts w:hint="eastAsia" w:ascii="Times New Roman" w:hAnsi="Times New Roman" w:eastAsia="仿宋_GB2312"/>
                <w:color w:val="auto"/>
                <w:szCs w:val="21"/>
              </w:rPr>
              <w:t>【</w:t>
            </w:r>
            <w:r>
              <w:rPr>
                <w:rFonts w:hint="eastAsia" w:ascii="Times New Roman" w:hAnsi="Times New Roman" w:eastAsia="仿宋_GB2312"/>
                <w:color w:val="auto"/>
                <w:szCs w:val="21"/>
                <w:lang w:val="en-US" w:eastAsia="zh-CN"/>
              </w:rPr>
              <w:t>法律</w:t>
            </w:r>
            <w:r>
              <w:rPr>
                <w:rFonts w:hint="eastAsia" w:ascii="Times New Roman" w:hAnsi="Times New Roman" w:eastAsia="仿宋_GB2312"/>
                <w:color w:val="auto"/>
                <w:szCs w:val="21"/>
              </w:rPr>
              <w:t>】《中华人民共和国招标投标法》</w:t>
            </w:r>
          </w:p>
          <w:p w14:paraId="7AE8773F">
            <w:pPr>
              <w:widowControl/>
              <w:autoSpaceDE w:val="0"/>
              <w:autoSpaceDN w:val="0"/>
              <w:spacing w:line="280" w:lineRule="exact"/>
              <w:jc w:val="left"/>
              <w:rPr>
                <w:rFonts w:ascii="Times New Roman" w:hAnsi="Times New Roman" w:eastAsia="仿宋_GB2312"/>
                <w:color w:val="auto"/>
                <w:szCs w:val="21"/>
              </w:rPr>
            </w:pPr>
            <w:r>
              <w:rPr>
                <w:rFonts w:hint="eastAsia" w:ascii="Times New Roman" w:hAnsi="Times New Roman" w:eastAsia="仿宋_GB2312"/>
                <w:color w:val="auto"/>
                <w:szCs w:val="21"/>
              </w:rPr>
              <w:t xml:space="preserve">    第七条  招标投标活动及其当事人应当接受依法实施的监督。有关行政监督部门依法对招标投标活动实施监督，依法查处招标投标活动中的违法行为。对招标投标活动的行政监督及有关部门的具体职权划分，由国务院规定。</w:t>
            </w:r>
          </w:p>
          <w:p w14:paraId="7D0CA7AB">
            <w:pPr>
              <w:widowControl/>
              <w:autoSpaceDE w:val="0"/>
              <w:autoSpaceDN w:val="0"/>
              <w:spacing w:line="280" w:lineRule="exact"/>
              <w:jc w:val="left"/>
              <w:rPr>
                <w:rFonts w:ascii="Times New Roman" w:hAnsi="Times New Roman" w:eastAsia="仿宋_GB2312"/>
                <w:color w:val="auto"/>
                <w:szCs w:val="21"/>
              </w:rPr>
            </w:pPr>
            <w:r>
              <w:rPr>
                <w:rFonts w:hint="eastAsia" w:ascii="Times New Roman" w:hAnsi="Times New Roman" w:eastAsia="仿宋_GB2312"/>
                <w:color w:val="auto"/>
                <w:szCs w:val="21"/>
              </w:rPr>
              <w:t>【法规】《中华人民共和国招标投标法实施条例》</w:t>
            </w:r>
          </w:p>
          <w:p w14:paraId="79EC000E">
            <w:pPr>
              <w:widowControl/>
              <w:autoSpaceDE w:val="0"/>
              <w:autoSpaceDN w:val="0"/>
              <w:spacing w:line="280" w:lineRule="exact"/>
              <w:jc w:val="left"/>
              <w:rPr>
                <w:rFonts w:ascii="Times New Roman" w:hAnsi="Times New Roman" w:eastAsia="仿宋_GB2312"/>
                <w:color w:val="auto"/>
                <w:szCs w:val="21"/>
              </w:rPr>
            </w:pPr>
            <w:r>
              <w:rPr>
                <w:rFonts w:hint="eastAsia" w:ascii="Times New Roman" w:hAnsi="Times New Roman" w:eastAsia="仿宋_GB2312"/>
                <w:color w:val="auto"/>
                <w:szCs w:val="21"/>
              </w:rPr>
              <w:t xml:space="preserve">    第四条  国务院发展改革部门指导和协调全国招标投标工作，对国家重大建设项目的工程招标投标活动实施监督检查。国务院工业和信息化、住房城乡建设、交通运输、铁道、水利、商务等部门，按照规定的职责分工对有关招标投标活动实施监督。县级以上地方人民政府发展改革部门指导和协调本行政区域的招标投标工作。县级以上地方人民政府有关部门按照规定的职责分工，对招标投标活动实施监督，依法查处招标投标活动中的违法行为。县级以上地方人民政府对其所属部门有关招标投标活动的监督职责分工另有规定的，从其规定。</w:t>
            </w:r>
          </w:p>
          <w:p w14:paraId="44564035">
            <w:pPr>
              <w:widowControl/>
              <w:autoSpaceDE w:val="0"/>
              <w:autoSpaceDN w:val="0"/>
              <w:spacing w:line="280" w:lineRule="exact"/>
              <w:ind w:firstLine="420" w:firstLineChars="200"/>
              <w:jc w:val="left"/>
              <w:rPr>
                <w:rFonts w:ascii="Times New Roman" w:hAnsi="Times New Roman" w:eastAsia="仿宋_GB2312"/>
                <w:color w:val="auto"/>
                <w:szCs w:val="21"/>
              </w:rPr>
            </w:pPr>
            <w:r>
              <w:rPr>
                <w:rFonts w:hint="eastAsia" w:ascii="Times New Roman" w:hAnsi="Times New Roman" w:eastAsia="仿宋_GB2312"/>
                <w:color w:val="auto"/>
                <w:szCs w:val="21"/>
              </w:rPr>
              <w:t>第十一条  国务院住房城乡建设、商务、发展改革、工业和信息化等部门，按照规定的职责分工对招标代理机构依法实施监督管理。</w:t>
            </w:r>
          </w:p>
          <w:p w14:paraId="2BCCE60B">
            <w:pPr>
              <w:widowControl/>
              <w:autoSpaceDE w:val="0"/>
              <w:autoSpaceDN w:val="0"/>
              <w:spacing w:line="280" w:lineRule="exact"/>
              <w:jc w:val="left"/>
              <w:rPr>
                <w:rFonts w:ascii="Times New Roman" w:hAnsi="Times New Roman" w:eastAsia="仿宋_GB2312"/>
                <w:color w:val="auto"/>
                <w:szCs w:val="21"/>
              </w:rPr>
            </w:pPr>
            <w:r>
              <w:rPr>
                <w:rFonts w:hint="eastAsia" w:ascii="Times New Roman" w:hAnsi="Times New Roman" w:eastAsia="仿宋_GB2312"/>
                <w:color w:val="auto"/>
                <w:szCs w:val="21"/>
              </w:rPr>
              <w:t xml:space="preserve">【文件】《住房城乡建设部办公厅关于取消工程建设项目招标代理机构资格认定加强事中事后监管的通知》 </w:t>
            </w:r>
          </w:p>
          <w:p w14:paraId="6432D990">
            <w:pPr>
              <w:widowControl/>
              <w:autoSpaceDE w:val="0"/>
              <w:autoSpaceDN w:val="0"/>
              <w:spacing w:line="280" w:lineRule="exact"/>
              <w:jc w:val="left"/>
              <w:rPr>
                <w:rFonts w:ascii="Times New Roman" w:hAnsi="Times New Roman" w:eastAsia="仿宋_GB2312"/>
                <w:color w:val="auto"/>
                <w:szCs w:val="21"/>
              </w:rPr>
            </w:pPr>
            <w:r>
              <w:rPr>
                <w:rFonts w:hint="eastAsia" w:ascii="Times New Roman" w:hAnsi="Times New Roman" w:eastAsia="仿宋_GB2312"/>
                <w:color w:val="auto"/>
                <w:szCs w:val="21"/>
              </w:rPr>
              <w:t xml:space="preserve">    各级住房城乡建设主管部门要高度重视招标代理机构资格认定取消后的事中事后监管工作，完善工作机制，创新监管手段，加强工程建设项目招标投标活动监管，依法严肃查处违法违规行为，促进招投标活动有序开展。</w:t>
            </w:r>
          </w:p>
        </w:tc>
        <w:tc>
          <w:tcPr>
            <w:tcW w:w="992" w:type="dxa"/>
            <w:vMerge w:val="restart"/>
            <w:tcBorders>
              <w:top w:val="single" w:color="auto" w:sz="4" w:space="0"/>
              <w:left w:val="single" w:color="auto" w:sz="4" w:space="0"/>
              <w:right w:val="single" w:color="auto" w:sz="4" w:space="0"/>
            </w:tcBorders>
            <w:shd w:val="clear" w:color="auto" w:fill="auto"/>
            <w:vAlign w:val="center"/>
          </w:tcPr>
          <w:p w14:paraId="2482F061">
            <w:pPr>
              <w:widowControl/>
              <w:autoSpaceDE w:val="0"/>
              <w:autoSpaceDN w:val="0"/>
              <w:spacing w:line="280" w:lineRule="exact"/>
              <w:jc w:val="center"/>
              <w:rPr>
                <w:rFonts w:ascii="Times New Roman" w:hAnsi="Times New Roman" w:eastAsia="仿宋_GB2312"/>
                <w:color w:val="auto"/>
                <w:szCs w:val="21"/>
              </w:rPr>
            </w:pPr>
            <w:r>
              <w:rPr>
                <w:rFonts w:hint="eastAsia" w:ascii="Times New Roman" w:hAnsi="Times New Roman" w:eastAsia="仿宋_GB2312"/>
                <w:color w:val="auto"/>
                <w:szCs w:val="21"/>
              </w:rPr>
              <w:t>现场</w:t>
            </w:r>
          </w:p>
          <w:p w14:paraId="6E8B94F1">
            <w:pPr>
              <w:widowControl/>
              <w:autoSpaceDE w:val="0"/>
              <w:autoSpaceDN w:val="0"/>
              <w:spacing w:line="280" w:lineRule="exact"/>
              <w:jc w:val="center"/>
              <w:rPr>
                <w:rFonts w:ascii="Times New Roman" w:hAnsi="Times New Roman" w:eastAsia="仿宋_GB2312"/>
                <w:color w:val="auto"/>
                <w:szCs w:val="21"/>
              </w:rPr>
            </w:pPr>
            <w:r>
              <w:rPr>
                <w:rFonts w:hint="eastAsia" w:ascii="Times New Roman" w:hAnsi="Times New Roman" w:eastAsia="仿宋_GB2312"/>
                <w:color w:val="auto"/>
                <w:szCs w:val="21"/>
              </w:rPr>
              <w:t>检查</w:t>
            </w:r>
          </w:p>
        </w:tc>
        <w:tc>
          <w:tcPr>
            <w:tcW w:w="1139" w:type="dxa"/>
            <w:vMerge w:val="restart"/>
            <w:tcBorders>
              <w:top w:val="single" w:color="auto" w:sz="4" w:space="0"/>
              <w:left w:val="single" w:color="auto" w:sz="4" w:space="0"/>
              <w:right w:val="single" w:color="auto" w:sz="4" w:space="0"/>
            </w:tcBorders>
            <w:shd w:val="clear" w:color="auto" w:fill="auto"/>
            <w:vAlign w:val="center"/>
          </w:tcPr>
          <w:p w14:paraId="4328A0DF">
            <w:pPr>
              <w:widowControl/>
              <w:autoSpaceDE w:val="0"/>
              <w:autoSpaceDN w:val="0"/>
              <w:spacing w:line="280" w:lineRule="exact"/>
              <w:jc w:val="center"/>
              <w:rPr>
                <w:rFonts w:ascii="Times New Roman" w:hAnsi="Times New Roman" w:eastAsia="仿宋_GB2312"/>
                <w:color w:val="auto"/>
                <w:szCs w:val="21"/>
              </w:rPr>
            </w:pPr>
            <w:r>
              <w:rPr>
                <w:rFonts w:hint="eastAsia" w:ascii="Times New Roman" w:hAnsi="Times New Roman" w:eastAsia="仿宋_GB2312"/>
                <w:color w:val="auto"/>
                <w:szCs w:val="21"/>
              </w:rPr>
              <w:t>双随机检查，不少于总标段数的5%且不少于10个标段；</w:t>
            </w:r>
          </w:p>
          <w:p w14:paraId="3121D4CC">
            <w:pPr>
              <w:widowControl/>
              <w:autoSpaceDE w:val="0"/>
              <w:autoSpaceDN w:val="0"/>
              <w:spacing w:line="280" w:lineRule="exact"/>
              <w:jc w:val="center"/>
              <w:rPr>
                <w:rFonts w:ascii="Times New Roman" w:hAnsi="Times New Roman" w:eastAsia="仿宋_GB2312"/>
                <w:color w:val="auto"/>
                <w:szCs w:val="21"/>
              </w:rPr>
            </w:pPr>
            <w:r>
              <w:rPr>
                <w:rFonts w:hint="eastAsia" w:ascii="Times New Roman" w:hAnsi="Times New Roman" w:eastAsia="仿宋_GB2312"/>
                <w:color w:val="auto"/>
                <w:szCs w:val="21"/>
              </w:rPr>
              <w:t>对招标代理机构的行政检查与招投标检查合并进行</w:t>
            </w:r>
          </w:p>
        </w:tc>
        <w:tc>
          <w:tcPr>
            <w:tcW w:w="1491" w:type="dxa"/>
            <w:tcBorders>
              <w:top w:val="single" w:color="auto" w:sz="4" w:space="0"/>
              <w:left w:val="single" w:color="auto" w:sz="4" w:space="0"/>
              <w:bottom w:val="single" w:color="auto" w:sz="4" w:space="0"/>
              <w:right w:val="single" w:color="auto" w:sz="4" w:space="0"/>
            </w:tcBorders>
            <w:shd w:val="clear" w:color="auto" w:fill="auto"/>
            <w:vAlign w:val="center"/>
          </w:tcPr>
          <w:p w14:paraId="779977D6">
            <w:pPr>
              <w:widowControl/>
              <w:autoSpaceDE w:val="0"/>
              <w:autoSpaceDN w:val="0"/>
              <w:spacing w:line="280" w:lineRule="exact"/>
              <w:jc w:val="center"/>
              <w:rPr>
                <w:rFonts w:ascii="Times New Roman" w:hAnsi="Times New Roman" w:eastAsia="仿宋_GB2312"/>
                <w:color w:val="auto"/>
                <w:szCs w:val="21"/>
              </w:rPr>
            </w:pPr>
            <w:r>
              <w:rPr>
                <w:rFonts w:hint="eastAsia" w:ascii="Times New Roman" w:hAnsi="Times New Roman" w:eastAsia="仿宋_GB2312"/>
                <w:color w:val="auto"/>
                <w:szCs w:val="21"/>
              </w:rPr>
              <w:t>320217400000</w:t>
            </w:r>
          </w:p>
        </w:tc>
        <w:tc>
          <w:tcPr>
            <w:tcW w:w="1481" w:type="dxa"/>
            <w:tcBorders>
              <w:top w:val="single" w:color="auto" w:sz="4" w:space="0"/>
              <w:left w:val="single" w:color="auto" w:sz="4" w:space="0"/>
              <w:bottom w:val="single" w:color="auto" w:sz="4" w:space="0"/>
              <w:right w:val="single" w:color="auto" w:sz="4" w:space="0"/>
            </w:tcBorders>
            <w:shd w:val="clear" w:color="auto" w:fill="auto"/>
            <w:vAlign w:val="center"/>
          </w:tcPr>
          <w:p w14:paraId="6439A9C0">
            <w:pPr>
              <w:widowControl/>
              <w:autoSpaceDE w:val="0"/>
              <w:autoSpaceDN w:val="0"/>
              <w:spacing w:line="280" w:lineRule="exact"/>
              <w:rPr>
                <w:rFonts w:ascii="Times New Roman" w:hAnsi="Times New Roman" w:eastAsia="仿宋_GB2312"/>
                <w:color w:val="auto"/>
                <w:szCs w:val="21"/>
              </w:rPr>
            </w:pPr>
            <w:r>
              <w:rPr>
                <w:rFonts w:hint="eastAsia" w:ascii="Times New Roman" w:hAnsi="Times New Roman" w:eastAsia="仿宋_GB2312"/>
                <w:color w:val="auto"/>
                <w:szCs w:val="21"/>
              </w:rPr>
              <w:t>化整为零或者以其他方式规避招标的处罚</w:t>
            </w:r>
          </w:p>
        </w:tc>
        <w:tc>
          <w:tcPr>
            <w:tcW w:w="622" w:type="dxa"/>
            <w:tcBorders>
              <w:left w:val="single" w:color="auto" w:sz="4" w:space="0"/>
              <w:right w:val="single" w:color="auto" w:sz="4" w:space="0"/>
            </w:tcBorders>
            <w:shd w:val="clear" w:color="auto" w:fill="auto"/>
            <w:vAlign w:val="center"/>
          </w:tcPr>
          <w:p w14:paraId="14217EE9">
            <w:pPr>
              <w:spacing w:line="280" w:lineRule="exact"/>
              <w:jc w:val="center"/>
              <w:rPr>
                <w:rFonts w:ascii="Times New Roman" w:hAnsi="Times New Roman" w:eastAsia="仿宋_GB2312"/>
                <w:color w:val="auto"/>
                <w:kern w:val="0"/>
                <w:szCs w:val="21"/>
              </w:rPr>
            </w:pPr>
          </w:p>
        </w:tc>
      </w:tr>
      <w:tr w14:paraId="52468B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0" w:hRule="atLeast"/>
          <w:jc w:val="center"/>
        </w:trPr>
        <w:tc>
          <w:tcPr>
            <w:tcW w:w="536" w:type="dxa"/>
            <w:vMerge w:val="continue"/>
            <w:tcBorders>
              <w:left w:val="single" w:color="auto" w:sz="4" w:space="0"/>
              <w:right w:val="single" w:color="auto" w:sz="4" w:space="0"/>
            </w:tcBorders>
            <w:shd w:val="clear" w:color="auto" w:fill="auto"/>
            <w:vAlign w:val="center"/>
          </w:tcPr>
          <w:p w14:paraId="4367530A">
            <w:pPr>
              <w:widowControl/>
              <w:autoSpaceDE w:val="0"/>
              <w:autoSpaceDN w:val="0"/>
              <w:spacing w:line="280" w:lineRule="exact"/>
              <w:jc w:val="left"/>
              <w:rPr>
                <w:rFonts w:ascii="Times New Roman" w:hAnsi="Times New Roman" w:eastAsia="仿宋_GB2312"/>
                <w:color w:val="auto"/>
                <w:szCs w:val="21"/>
              </w:rPr>
            </w:pPr>
          </w:p>
        </w:tc>
        <w:tc>
          <w:tcPr>
            <w:tcW w:w="1324" w:type="dxa"/>
            <w:vMerge w:val="continue"/>
            <w:tcBorders>
              <w:left w:val="single" w:color="auto" w:sz="4" w:space="0"/>
              <w:right w:val="single" w:color="auto" w:sz="4" w:space="0"/>
            </w:tcBorders>
            <w:shd w:val="clear" w:color="auto" w:fill="auto"/>
            <w:vAlign w:val="center"/>
          </w:tcPr>
          <w:p w14:paraId="3347FBF1">
            <w:pPr>
              <w:widowControl/>
              <w:autoSpaceDE w:val="0"/>
              <w:autoSpaceDN w:val="0"/>
              <w:spacing w:line="280" w:lineRule="exact"/>
              <w:jc w:val="left"/>
              <w:rPr>
                <w:rFonts w:ascii="Times New Roman" w:hAnsi="Times New Roman" w:eastAsia="仿宋_GB2312"/>
                <w:color w:val="auto"/>
                <w:szCs w:val="21"/>
              </w:rPr>
            </w:pPr>
          </w:p>
        </w:tc>
        <w:tc>
          <w:tcPr>
            <w:tcW w:w="794" w:type="dxa"/>
            <w:vMerge w:val="continue"/>
            <w:tcBorders>
              <w:left w:val="single" w:color="auto" w:sz="4" w:space="0"/>
              <w:right w:val="single" w:color="auto" w:sz="4" w:space="0"/>
            </w:tcBorders>
            <w:shd w:val="clear" w:color="auto" w:fill="auto"/>
            <w:vAlign w:val="center"/>
          </w:tcPr>
          <w:p w14:paraId="7111A05B">
            <w:pPr>
              <w:widowControl/>
              <w:autoSpaceDE w:val="0"/>
              <w:autoSpaceDN w:val="0"/>
              <w:spacing w:line="280" w:lineRule="exact"/>
              <w:jc w:val="left"/>
              <w:rPr>
                <w:rFonts w:ascii="Times New Roman" w:hAnsi="Times New Roman" w:eastAsia="仿宋_GB2312"/>
                <w:color w:val="auto"/>
                <w:szCs w:val="21"/>
              </w:rPr>
            </w:pPr>
          </w:p>
        </w:tc>
        <w:tc>
          <w:tcPr>
            <w:tcW w:w="872" w:type="dxa"/>
            <w:vMerge w:val="continue"/>
            <w:tcBorders>
              <w:left w:val="single" w:color="auto" w:sz="4" w:space="0"/>
              <w:right w:val="single" w:color="auto" w:sz="4" w:space="0"/>
            </w:tcBorders>
            <w:shd w:val="clear" w:color="auto" w:fill="auto"/>
            <w:vAlign w:val="center"/>
          </w:tcPr>
          <w:p w14:paraId="1C88C9E0">
            <w:pPr>
              <w:widowControl/>
              <w:autoSpaceDE w:val="0"/>
              <w:autoSpaceDN w:val="0"/>
              <w:spacing w:line="280" w:lineRule="exact"/>
              <w:jc w:val="left"/>
              <w:rPr>
                <w:rFonts w:ascii="Times New Roman" w:hAnsi="Times New Roman" w:eastAsia="仿宋_GB2312"/>
                <w:color w:val="auto"/>
                <w:szCs w:val="21"/>
              </w:rPr>
            </w:pPr>
          </w:p>
        </w:tc>
        <w:tc>
          <w:tcPr>
            <w:tcW w:w="869" w:type="dxa"/>
            <w:vMerge w:val="continue"/>
            <w:tcBorders>
              <w:left w:val="single" w:color="auto" w:sz="4" w:space="0"/>
              <w:right w:val="single" w:color="auto" w:sz="4" w:space="0"/>
            </w:tcBorders>
            <w:shd w:val="clear" w:color="auto" w:fill="auto"/>
            <w:vAlign w:val="center"/>
          </w:tcPr>
          <w:p w14:paraId="4A1EAF27">
            <w:pPr>
              <w:widowControl/>
              <w:autoSpaceDE w:val="0"/>
              <w:autoSpaceDN w:val="0"/>
              <w:spacing w:line="280" w:lineRule="exact"/>
              <w:jc w:val="left"/>
              <w:rPr>
                <w:rFonts w:ascii="Times New Roman" w:hAnsi="Times New Roman" w:eastAsia="仿宋_GB2312"/>
                <w:color w:val="auto"/>
                <w:szCs w:val="21"/>
              </w:rPr>
            </w:pPr>
          </w:p>
        </w:tc>
        <w:tc>
          <w:tcPr>
            <w:tcW w:w="4962" w:type="dxa"/>
            <w:vMerge w:val="continue"/>
            <w:tcBorders>
              <w:left w:val="single" w:color="auto" w:sz="4" w:space="0"/>
              <w:right w:val="single" w:color="auto" w:sz="4" w:space="0"/>
            </w:tcBorders>
            <w:shd w:val="clear" w:color="auto" w:fill="auto"/>
            <w:vAlign w:val="center"/>
          </w:tcPr>
          <w:p w14:paraId="39595DA8">
            <w:pPr>
              <w:widowControl/>
              <w:autoSpaceDE w:val="0"/>
              <w:autoSpaceDN w:val="0"/>
              <w:spacing w:line="280" w:lineRule="exact"/>
              <w:jc w:val="left"/>
              <w:rPr>
                <w:rFonts w:ascii="Times New Roman" w:hAnsi="Times New Roman" w:eastAsia="仿宋_GB2312"/>
                <w:color w:val="auto"/>
                <w:szCs w:val="21"/>
              </w:rPr>
            </w:pPr>
          </w:p>
        </w:tc>
        <w:tc>
          <w:tcPr>
            <w:tcW w:w="992" w:type="dxa"/>
            <w:vMerge w:val="continue"/>
            <w:tcBorders>
              <w:left w:val="single" w:color="auto" w:sz="4" w:space="0"/>
              <w:right w:val="single" w:color="auto" w:sz="4" w:space="0"/>
            </w:tcBorders>
            <w:shd w:val="clear" w:color="auto" w:fill="auto"/>
            <w:vAlign w:val="center"/>
          </w:tcPr>
          <w:p w14:paraId="71F8CD98">
            <w:pPr>
              <w:widowControl/>
              <w:autoSpaceDE w:val="0"/>
              <w:autoSpaceDN w:val="0"/>
              <w:spacing w:line="280" w:lineRule="exact"/>
              <w:jc w:val="left"/>
              <w:rPr>
                <w:rFonts w:ascii="Times New Roman" w:hAnsi="Times New Roman" w:eastAsia="仿宋_GB2312"/>
                <w:color w:val="auto"/>
                <w:szCs w:val="21"/>
              </w:rPr>
            </w:pPr>
          </w:p>
        </w:tc>
        <w:tc>
          <w:tcPr>
            <w:tcW w:w="1139" w:type="dxa"/>
            <w:vMerge w:val="continue"/>
            <w:tcBorders>
              <w:left w:val="single" w:color="auto" w:sz="4" w:space="0"/>
              <w:right w:val="single" w:color="auto" w:sz="4" w:space="0"/>
            </w:tcBorders>
            <w:shd w:val="clear" w:color="auto" w:fill="auto"/>
            <w:vAlign w:val="center"/>
          </w:tcPr>
          <w:p w14:paraId="3CF75ED9">
            <w:pPr>
              <w:widowControl/>
              <w:autoSpaceDE w:val="0"/>
              <w:autoSpaceDN w:val="0"/>
              <w:spacing w:line="280" w:lineRule="exact"/>
              <w:jc w:val="center"/>
              <w:rPr>
                <w:rFonts w:ascii="Times New Roman" w:hAnsi="Times New Roman" w:eastAsia="仿宋_GB2312"/>
                <w:color w:val="auto"/>
                <w:szCs w:val="21"/>
              </w:rPr>
            </w:pPr>
          </w:p>
        </w:tc>
        <w:tc>
          <w:tcPr>
            <w:tcW w:w="1491" w:type="dxa"/>
            <w:tcBorders>
              <w:top w:val="single" w:color="auto" w:sz="4" w:space="0"/>
              <w:left w:val="single" w:color="auto" w:sz="4" w:space="0"/>
              <w:bottom w:val="single" w:color="auto" w:sz="4" w:space="0"/>
              <w:right w:val="single" w:color="auto" w:sz="4" w:space="0"/>
            </w:tcBorders>
            <w:shd w:val="clear" w:color="auto" w:fill="auto"/>
            <w:vAlign w:val="center"/>
          </w:tcPr>
          <w:p w14:paraId="46131FA8">
            <w:pPr>
              <w:widowControl/>
              <w:autoSpaceDE w:val="0"/>
              <w:autoSpaceDN w:val="0"/>
              <w:spacing w:line="280" w:lineRule="exact"/>
              <w:jc w:val="center"/>
              <w:rPr>
                <w:rFonts w:ascii="Times New Roman" w:hAnsi="Times New Roman" w:eastAsia="仿宋_GB2312"/>
                <w:color w:val="auto"/>
                <w:szCs w:val="21"/>
              </w:rPr>
            </w:pPr>
            <w:r>
              <w:rPr>
                <w:rFonts w:hint="eastAsia" w:ascii="Times New Roman" w:hAnsi="Times New Roman" w:eastAsia="仿宋_GB2312"/>
                <w:color w:val="auto"/>
                <w:szCs w:val="21"/>
              </w:rPr>
              <w:t>320217358000</w:t>
            </w:r>
          </w:p>
        </w:tc>
        <w:tc>
          <w:tcPr>
            <w:tcW w:w="1481" w:type="dxa"/>
            <w:tcBorders>
              <w:top w:val="single" w:color="auto" w:sz="4" w:space="0"/>
              <w:left w:val="single" w:color="auto" w:sz="4" w:space="0"/>
              <w:bottom w:val="single" w:color="auto" w:sz="4" w:space="0"/>
              <w:right w:val="single" w:color="auto" w:sz="4" w:space="0"/>
            </w:tcBorders>
            <w:shd w:val="clear" w:color="auto" w:fill="auto"/>
            <w:vAlign w:val="center"/>
          </w:tcPr>
          <w:p w14:paraId="5C548551">
            <w:pPr>
              <w:widowControl/>
              <w:autoSpaceDE w:val="0"/>
              <w:autoSpaceDN w:val="0"/>
              <w:spacing w:line="280" w:lineRule="exact"/>
              <w:rPr>
                <w:rFonts w:ascii="Times New Roman" w:hAnsi="Times New Roman" w:eastAsia="仿宋_GB2312"/>
                <w:color w:val="auto"/>
                <w:szCs w:val="21"/>
              </w:rPr>
            </w:pPr>
            <w:r>
              <w:rPr>
                <w:rFonts w:hint="eastAsia" w:ascii="Times New Roman" w:hAnsi="Times New Roman" w:eastAsia="仿宋_GB2312"/>
                <w:color w:val="auto"/>
                <w:szCs w:val="21"/>
              </w:rPr>
              <w:t>对依法必须进行招标的项目，招标人违法与投标人就投标价格、投标方案等实质性内容进行谈判的处罚</w:t>
            </w:r>
          </w:p>
        </w:tc>
        <w:tc>
          <w:tcPr>
            <w:tcW w:w="622" w:type="dxa"/>
            <w:tcBorders>
              <w:left w:val="single" w:color="auto" w:sz="4" w:space="0"/>
              <w:right w:val="single" w:color="auto" w:sz="4" w:space="0"/>
            </w:tcBorders>
            <w:shd w:val="clear" w:color="auto" w:fill="auto"/>
            <w:vAlign w:val="center"/>
          </w:tcPr>
          <w:p w14:paraId="15CD0419">
            <w:pPr>
              <w:spacing w:line="280" w:lineRule="exact"/>
              <w:jc w:val="center"/>
              <w:rPr>
                <w:rFonts w:ascii="Times New Roman" w:hAnsi="Times New Roman" w:eastAsia="仿宋_GB2312"/>
                <w:color w:val="auto"/>
                <w:kern w:val="0"/>
                <w:szCs w:val="21"/>
              </w:rPr>
            </w:pPr>
          </w:p>
        </w:tc>
      </w:tr>
      <w:tr w14:paraId="0AA990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4" w:hRule="atLeast"/>
          <w:jc w:val="center"/>
        </w:trPr>
        <w:tc>
          <w:tcPr>
            <w:tcW w:w="536" w:type="dxa"/>
            <w:vMerge w:val="continue"/>
            <w:tcBorders>
              <w:left w:val="single" w:color="auto" w:sz="4" w:space="0"/>
              <w:right w:val="single" w:color="auto" w:sz="4" w:space="0"/>
            </w:tcBorders>
            <w:shd w:val="clear" w:color="auto" w:fill="auto"/>
            <w:vAlign w:val="center"/>
          </w:tcPr>
          <w:p w14:paraId="419705F2">
            <w:pPr>
              <w:widowControl/>
              <w:autoSpaceDE w:val="0"/>
              <w:autoSpaceDN w:val="0"/>
              <w:spacing w:line="280" w:lineRule="exact"/>
              <w:jc w:val="left"/>
              <w:rPr>
                <w:rFonts w:ascii="Times New Roman" w:hAnsi="Times New Roman" w:eastAsia="仿宋_GB2312"/>
                <w:color w:val="auto"/>
                <w:szCs w:val="21"/>
              </w:rPr>
            </w:pPr>
          </w:p>
        </w:tc>
        <w:tc>
          <w:tcPr>
            <w:tcW w:w="1324" w:type="dxa"/>
            <w:vMerge w:val="continue"/>
            <w:tcBorders>
              <w:left w:val="single" w:color="auto" w:sz="4" w:space="0"/>
              <w:right w:val="single" w:color="auto" w:sz="4" w:space="0"/>
            </w:tcBorders>
            <w:shd w:val="clear" w:color="auto" w:fill="auto"/>
            <w:vAlign w:val="center"/>
          </w:tcPr>
          <w:p w14:paraId="60C3D99E">
            <w:pPr>
              <w:widowControl/>
              <w:autoSpaceDE w:val="0"/>
              <w:autoSpaceDN w:val="0"/>
              <w:spacing w:line="280" w:lineRule="exact"/>
              <w:jc w:val="left"/>
              <w:rPr>
                <w:rFonts w:ascii="Times New Roman" w:hAnsi="Times New Roman" w:eastAsia="仿宋_GB2312"/>
                <w:color w:val="auto"/>
                <w:szCs w:val="21"/>
              </w:rPr>
            </w:pPr>
          </w:p>
        </w:tc>
        <w:tc>
          <w:tcPr>
            <w:tcW w:w="794" w:type="dxa"/>
            <w:vMerge w:val="continue"/>
            <w:tcBorders>
              <w:left w:val="single" w:color="auto" w:sz="4" w:space="0"/>
              <w:right w:val="single" w:color="auto" w:sz="4" w:space="0"/>
            </w:tcBorders>
            <w:shd w:val="clear" w:color="auto" w:fill="auto"/>
            <w:vAlign w:val="center"/>
          </w:tcPr>
          <w:p w14:paraId="13F45A5F">
            <w:pPr>
              <w:widowControl/>
              <w:autoSpaceDE w:val="0"/>
              <w:autoSpaceDN w:val="0"/>
              <w:spacing w:line="280" w:lineRule="exact"/>
              <w:jc w:val="left"/>
              <w:rPr>
                <w:rFonts w:ascii="Times New Roman" w:hAnsi="Times New Roman" w:eastAsia="仿宋_GB2312"/>
                <w:color w:val="auto"/>
                <w:szCs w:val="21"/>
              </w:rPr>
            </w:pPr>
          </w:p>
        </w:tc>
        <w:tc>
          <w:tcPr>
            <w:tcW w:w="872" w:type="dxa"/>
            <w:vMerge w:val="continue"/>
            <w:tcBorders>
              <w:left w:val="single" w:color="auto" w:sz="4" w:space="0"/>
              <w:right w:val="single" w:color="auto" w:sz="4" w:space="0"/>
            </w:tcBorders>
            <w:shd w:val="clear" w:color="auto" w:fill="auto"/>
            <w:vAlign w:val="center"/>
          </w:tcPr>
          <w:p w14:paraId="3243E064">
            <w:pPr>
              <w:widowControl/>
              <w:autoSpaceDE w:val="0"/>
              <w:autoSpaceDN w:val="0"/>
              <w:spacing w:line="280" w:lineRule="exact"/>
              <w:jc w:val="left"/>
              <w:rPr>
                <w:rFonts w:ascii="Times New Roman" w:hAnsi="Times New Roman" w:eastAsia="仿宋_GB2312"/>
                <w:color w:val="auto"/>
                <w:szCs w:val="21"/>
              </w:rPr>
            </w:pPr>
          </w:p>
        </w:tc>
        <w:tc>
          <w:tcPr>
            <w:tcW w:w="869" w:type="dxa"/>
            <w:vMerge w:val="continue"/>
            <w:tcBorders>
              <w:left w:val="single" w:color="auto" w:sz="4" w:space="0"/>
              <w:right w:val="single" w:color="auto" w:sz="4" w:space="0"/>
            </w:tcBorders>
            <w:shd w:val="clear" w:color="auto" w:fill="auto"/>
            <w:vAlign w:val="center"/>
          </w:tcPr>
          <w:p w14:paraId="3F1D9774">
            <w:pPr>
              <w:widowControl/>
              <w:autoSpaceDE w:val="0"/>
              <w:autoSpaceDN w:val="0"/>
              <w:spacing w:line="280" w:lineRule="exact"/>
              <w:jc w:val="left"/>
              <w:rPr>
                <w:rFonts w:ascii="Times New Roman" w:hAnsi="Times New Roman" w:eastAsia="仿宋_GB2312"/>
                <w:color w:val="auto"/>
                <w:szCs w:val="21"/>
              </w:rPr>
            </w:pPr>
          </w:p>
        </w:tc>
        <w:tc>
          <w:tcPr>
            <w:tcW w:w="4962" w:type="dxa"/>
            <w:vMerge w:val="continue"/>
            <w:tcBorders>
              <w:left w:val="single" w:color="auto" w:sz="4" w:space="0"/>
              <w:right w:val="single" w:color="auto" w:sz="4" w:space="0"/>
            </w:tcBorders>
            <w:shd w:val="clear" w:color="auto" w:fill="auto"/>
            <w:vAlign w:val="center"/>
          </w:tcPr>
          <w:p w14:paraId="049942B9">
            <w:pPr>
              <w:widowControl/>
              <w:autoSpaceDE w:val="0"/>
              <w:autoSpaceDN w:val="0"/>
              <w:spacing w:line="280" w:lineRule="exact"/>
              <w:jc w:val="left"/>
              <w:rPr>
                <w:rFonts w:ascii="Times New Roman" w:hAnsi="Times New Roman" w:eastAsia="仿宋_GB2312"/>
                <w:color w:val="auto"/>
                <w:szCs w:val="21"/>
              </w:rPr>
            </w:pPr>
          </w:p>
        </w:tc>
        <w:tc>
          <w:tcPr>
            <w:tcW w:w="992" w:type="dxa"/>
            <w:vMerge w:val="continue"/>
            <w:tcBorders>
              <w:left w:val="single" w:color="auto" w:sz="4" w:space="0"/>
              <w:right w:val="single" w:color="auto" w:sz="4" w:space="0"/>
            </w:tcBorders>
            <w:shd w:val="clear" w:color="auto" w:fill="auto"/>
            <w:vAlign w:val="center"/>
          </w:tcPr>
          <w:p w14:paraId="45860EF9">
            <w:pPr>
              <w:widowControl/>
              <w:autoSpaceDE w:val="0"/>
              <w:autoSpaceDN w:val="0"/>
              <w:spacing w:line="280" w:lineRule="exact"/>
              <w:jc w:val="left"/>
              <w:rPr>
                <w:rFonts w:ascii="Times New Roman" w:hAnsi="Times New Roman" w:eastAsia="仿宋_GB2312"/>
                <w:color w:val="auto"/>
                <w:szCs w:val="21"/>
              </w:rPr>
            </w:pPr>
          </w:p>
        </w:tc>
        <w:tc>
          <w:tcPr>
            <w:tcW w:w="1139" w:type="dxa"/>
            <w:vMerge w:val="continue"/>
            <w:tcBorders>
              <w:left w:val="single" w:color="auto" w:sz="4" w:space="0"/>
              <w:right w:val="single" w:color="auto" w:sz="4" w:space="0"/>
            </w:tcBorders>
            <w:shd w:val="clear" w:color="auto" w:fill="auto"/>
            <w:vAlign w:val="center"/>
          </w:tcPr>
          <w:p w14:paraId="11BDDB81">
            <w:pPr>
              <w:widowControl/>
              <w:autoSpaceDE w:val="0"/>
              <w:autoSpaceDN w:val="0"/>
              <w:spacing w:line="280" w:lineRule="exact"/>
              <w:jc w:val="center"/>
              <w:rPr>
                <w:rFonts w:ascii="Times New Roman" w:hAnsi="Times New Roman" w:eastAsia="仿宋_GB2312"/>
                <w:color w:val="auto"/>
                <w:szCs w:val="21"/>
              </w:rPr>
            </w:pPr>
          </w:p>
        </w:tc>
        <w:tc>
          <w:tcPr>
            <w:tcW w:w="1491" w:type="dxa"/>
            <w:tcBorders>
              <w:top w:val="single" w:color="auto" w:sz="4" w:space="0"/>
              <w:left w:val="single" w:color="auto" w:sz="4" w:space="0"/>
              <w:bottom w:val="single" w:color="auto" w:sz="4" w:space="0"/>
              <w:right w:val="single" w:color="auto" w:sz="4" w:space="0"/>
            </w:tcBorders>
            <w:shd w:val="clear" w:color="auto" w:fill="auto"/>
            <w:vAlign w:val="center"/>
          </w:tcPr>
          <w:p w14:paraId="46F1ED8B">
            <w:pPr>
              <w:widowControl/>
              <w:autoSpaceDE w:val="0"/>
              <w:autoSpaceDN w:val="0"/>
              <w:spacing w:line="280" w:lineRule="exact"/>
              <w:jc w:val="center"/>
              <w:rPr>
                <w:rFonts w:ascii="Times New Roman" w:hAnsi="Times New Roman" w:eastAsia="仿宋_GB2312"/>
                <w:color w:val="auto"/>
                <w:szCs w:val="21"/>
              </w:rPr>
            </w:pPr>
            <w:r>
              <w:rPr>
                <w:rFonts w:hint="eastAsia" w:ascii="Times New Roman" w:hAnsi="Times New Roman" w:eastAsia="仿宋_GB2312"/>
                <w:color w:val="auto"/>
                <w:szCs w:val="21"/>
              </w:rPr>
              <w:t>320217357000</w:t>
            </w:r>
          </w:p>
        </w:tc>
        <w:tc>
          <w:tcPr>
            <w:tcW w:w="1481" w:type="dxa"/>
            <w:tcBorders>
              <w:top w:val="single" w:color="auto" w:sz="4" w:space="0"/>
              <w:left w:val="single" w:color="auto" w:sz="4" w:space="0"/>
              <w:bottom w:val="single" w:color="auto" w:sz="4" w:space="0"/>
              <w:right w:val="single" w:color="auto" w:sz="4" w:space="0"/>
            </w:tcBorders>
            <w:shd w:val="clear" w:color="auto" w:fill="auto"/>
            <w:vAlign w:val="center"/>
          </w:tcPr>
          <w:p w14:paraId="74EF3C73">
            <w:pPr>
              <w:widowControl/>
              <w:autoSpaceDE w:val="0"/>
              <w:autoSpaceDN w:val="0"/>
              <w:spacing w:line="280" w:lineRule="exact"/>
              <w:rPr>
                <w:rFonts w:ascii="Times New Roman" w:hAnsi="Times New Roman" w:eastAsia="仿宋_GB2312"/>
                <w:color w:val="auto"/>
                <w:szCs w:val="21"/>
              </w:rPr>
            </w:pPr>
            <w:r>
              <w:rPr>
                <w:rFonts w:hint="eastAsia" w:ascii="Times New Roman" w:hAnsi="Times New Roman" w:eastAsia="仿宋_GB2312"/>
                <w:color w:val="auto"/>
                <w:szCs w:val="21"/>
              </w:rPr>
              <w:t>对投标人以他人名义投标或者以其他方式弄虚作假，骗取中标的处罚</w:t>
            </w:r>
          </w:p>
        </w:tc>
        <w:tc>
          <w:tcPr>
            <w:tcW w:w="622" w:type="dxa"/>
            <w:tcBorders>
              <w:left w:val="single" w:color="auto" w:sz="4" w:space="0"/>
              <w:right w:val="single" w:color="auto" w:sz="4" w:space="0"/>
            </w:tcBorders>
            <w:shd w:val="clear" w:color="auto" w:fill="auto"/>
            <w:vAlign w:val="center"/>
          </w:tcPr>
          <w:p w14:paraId="20FE3D7D">
            <w:pPr>
              <w:spacing w:line="280" w:lineRule="exact"/>
              <w:jc w:val="center"/>
              <w:rPr>
                <w:rFonts w:ascii="Times New Roman" w:hAnsi="Times New Roman" w:eastAsia="仿宋_GB2312"/>
                <w:color w:val="auto"/>
                <w:kern w:val="0"/>
                <w:szCs w:val="21"/>
              </w:rPr>
            </w:pPr>
          </w:p>
        </w:tc>
      </w:tr>
      <w:tr w14:paraId="406D2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6" w:type="dxa"/>
            <w:vMerge w:val="continue"/>
            <w:tcBorders>
              <w:left w:val="single" w:color="auto" w:sz="4" w:space="0"/>
              <w:bottom w:val="single" w:color="auto" w:sz="4" w:space="0"/>
              <w:right w:val="single" w:color="auto" w:sz="4" w:space="0"/>
            </w:tcBorders>
            <w:shd w:val="clear" w:color="auto" w:fill="auto"/>
            <w:vAlign w:val="center"/>
          </w:tcPr>
          <w:p w14:paraId="74D358A3">
            <w:pPr>
              <w:widowControl/>
              <w:autoSpaceDE w:val="0"/>
              <w:autoSpaceDN w:val="0"/>
              <w:spacing w:line="280" w:lineRule="exact"/>
              <w:jc w:val="left"/>
              <w:rPr>
                <w:rFonts w:ascii="Times New Roman" w:hAnsi="Times New Roman" w:eastAsia="仿宋_GB2312"/>
                <w:color w:val="auto"/>
                <w:szCs w:val="21"/>
              </w:rPr>
            </w:pPr>
          </w:p>
        </w:tc>
        <w:tc>
          <w:tcPr>
            <w:tcW w:w="1324" w:type="dxa"/>
            <w:vMerge w:val="continue"/>
            <w:tcBorders>
              <w:left w:val="single" w:color="auto" w:sz="4" w:space="0"/>
              <w:bottom w:val="single" w:color="auto" w:sz="4" w:space="0"/>
              <w:right w:val="single" w:color="auto" w:sz="4" w:space="0"/>
            </w:tcBorders>
            <w:shd w:val="clear" w:color="auto" w:fill="auto"/>
            <w:vAlign w:val="center"/>
          </w:tcPr>
          <w:p w14:paraId="468CF187">
            <w:pPr>
              <w:widowControl/>
              <w:autoSpaceDE w:val="0"/>
              <w:autoSpaceDN w:val="0"/>
              <w:spacing w:line="280" w:lineRule="exact"/>
              <w:jc w:val="left"/>
              <w:rPr>
                <w:rFonts w:ascii="Times New Roman" w:hAnsi="Times New Roman" w:eastAsia="仿宋_GB2312"/>
                <w:color w:val="auto"/>
                <w:szCs w:val="21"/>
              </w:rPr>
            </w:pPr>
          </w:p>
        </w:tc>
        <w:tc>
          <w:tcPr>
            <w:tcW w:w="794" w:type="dxa"/>
            <w:vMerge w:val="continue"/>
            <w:tcBorders>
              <w:left w:val="single" w:color="auto" w:sz="4" w:space="0"/>
              <w:bottom w:val="single" w:color="auto" w:sz="4" w:space="0"/>
              <w:right w:val="single" w:color="auto" w:sz="4" w:space="0"/>
            </w:tcBorders>
            <w:shd w:val="clear" w:color="auto" w:fill="auto"/>
            <w:vAlign w:val="center"/>
          </w:tcPr>
          <w:p w14:paraId="25C45D15">
            <w:pPr>
              <w:widowControl/>
              <w:autoSpaceDE w:val="0"/>
              <w:autoSpaceDN w:val="0"/>
              <w:spacing w:line="280" w:lineRule="exact"/>
              <w:jc w:val="left"/>
              <w:rPr>
                <w:rFonts w:ascii="Times New Roman" w:hAnsi="Times New Roman" w:eastAsia="仿宋_GB2312"/>
                <w:color w:val="auto"/>
                <w:szCs w:val="21"/>
              </w:rPr>
            </w:pPr>
          </w:p>
        </w:tc>
        <w:tc>
          <w:tcPr>
            <w:tcW w:w="872" w:type="dxa"/>
            <w:vMerge w:val="continue"/>
            <w:tcBorders>
              <w:left w:val="single" w:color="auto" w:sz="4" w:space="0"/>
              <w:bottom w:val="single" w:color="auto" w:sz="4" w:space="0"/>
              <w:right w:val="single" w:color="auto" w:sz="4" w:space="0"/>
            </w:tcBorders>
            <w:shd w:val="clear" w:color="auto" w:fill="auto"/>
            <w:vAlign w:val="center"/>
          </w:tcPr>
          <w:p w14:paraId="71D2E592">
            <w:pPr>
              <w:widowControl/>
              <w:autoSpaceDE w:val="0"/>
              <w:autoSpaceDN w:val="0"/>
              <w:spacing w:line="280" w:lineRule="exact"/>
              <w:jc w:val="left"/>
              <w:rPr>
                <w:rFonts w:ascii="Times New Roman" w:hAnsi="Times New Roman" w:eastAsia="仿宋_GB2312"/>
                <w:color w:val="auto"/>
                <w:szCs w:val="21"/>
              </w:rPr>
            </w:pPr>
          </w:p>
        </w:tc>
        <w:tc>
          <w:tcPr>
            <w:tcW w:w="869" w:type="dxa"/>
            <w:vMerge w:val="continue"/>
            <w:tcBorders>
              <w:left w:val="single" w:color="auto" w:sz="4" w:space="0"/>
              <w:bottom w:val="single" w:color="auto" w:sz="4" w:space="0"/>
              <w:right w:val="single" w:color="auto" w:sz="4" w:space="0"/>
            </w:tcBorders>
            <w:shd w:val="clear" w:color="auto" w:fill="auto"/>
            <w:vAlign w:val="center"/>
          </w:tcPr>
          <w:p w14:paraId="1B922D08">
            <w:pPr>
              <w:widowControl/>
              <w:autoSpaceDE w:val="0"/>
              <w:autoSpaceDN w:val="0"/>
              <w:spacing w:line="280" w:lineRule="exact"/>
              <w:jc w:val="left"/>
              <w:rPr>
                <w:rFonts w:ascii="Times New Roman" w:hAnsi="Times New Roman" w:eastAsia="仿宋_GB2312"/>
                <w:color w:val="auto"/>
                <w:szCs w:val="21"/>
              </w:rPr>
            </w:pPr>
          </w:p>
        </w:tc>
        <w:tc>
          <w:tcPr>
            <w:tcW w:w="4962" w:type="dxa"/>
            <w:vMerge w:val="continue"/>
            <w:tcBorders>
              <w:left w:val="single" w:color="auto" w:sz="4" w:space="0"/>
              <w:bottom w:val="single" w:color="auto" w:sz="4" w:space="0"/>
              <w:right w:val="single" w:color="auto" w:sz="4" w:space="0"/>
            </w:tcBorders>
            <w:shd w:val="clear" w:color="auto" w:fill="auto"/>
            <w:vAlign w:val="center"/>
          </w:tcPr>
          <w:p w14:paraId="4E14599E">
            <w:pPr>
              <w:widowControl/>
              <w:autoSpaceDE w:val="0"/>
              <w:autoSpaceDN w:val="0"/>
              <w:spacing w:line="280" w:lineRule="exact"/>
              <w:jc w:val="left"/>
              <w:rPr>
                <w:rFonts w:ascii="Times New Roman" w:hAnsi="Times New Roman" w:eastAsia="仿宋_GB2312"/>
                <w:color w:val="auto"/>
                <w:szCs w:val="21"/>
              </w:rPr>
            </w:pPr>
          </w:p>
        </w:tc>
        <w:tc>
          <w:tcPr>
            <w:tcW w:w="992" w:type="dxa"/>
            <w:vMerge w:val="continue"/>
            <w:tcBorders>
              <w:left w:val="single" w:color="auto" w:sz="4" w:space="0"/>
              <w:bottom w:val="single" w:color="auto" w:sz="4" w:space="0"/>
              <w:right w:val="single" w:color="auto" w:sz="4" w:space="0"/>
            </w:tcBorders>
            <w:shd w:val="clear" w:color="auto" w:fill="auto"/>
            <w:vAlign w:val="center"/>
          </w:tcPr>
          <w:p w14:paraId="68DF0E74">
            <w:pPr>
              <w:widowControl/>
              <w:autoSpaceDE w:val="0"/>
              <w:autoSpaceDN w:val="0"/>
              <w:spacing w:line="280" w:lineRule="exact"/>
              <w:jc w:val="left"/>
              <w:rPr>
                <w:rFonts w:ascii="Times New Roman" w:hAnsi="Times New Roman" w:eastAsia="仿宋_GB2312"/>
                <w:color w:val="auto"/>
                <w:szCs w:val="21"/>
              </w:rPr>
            </w:pPr>
          </w:p>
        </w:tc>
        <w:tc>
          <w:tcPr>
            <w:tcW w:w="1139" w:type="dxa"/>
            <w:vMerge w:val="continue"/>
            <w:tcBorders>
              <w:left w:val="single" w:color="auto" w:sz="4" w:space="0"/>
              <w:bottom w:val="single" w:color="auto" w:sz="4" w:space="0"/>
              <w:right w:val="single" w:color="auto" w:sz="4" w:space="0"/>
            </w:tcBorders>
            <w:shd w:val="clear" w:color="auto" w:fill="auto"/>
            <w:vAlign w:val="center"/>
          </w:tcPr>
          <w:p w14:paraId="520968D4">
            <w:pPr>
              <w:widowControl/>
              <w:autoSpaceDE w:val="0"/>
              <w:autoSpaceDN w:val="0"/>
              <w:spacing w:line="280" w:lineRule="exact"/>
              <w:jc w:val="center"/>
              <w:rPr>
                <w:rFonts w:ascii="Times New Roman" w:hAnsi="Times New Roman" w:eastAsia="仿宋_GB2312"/>
                <w:color w:val="auto"/>
                <w:szCs w:val="21"/>
              </w:rPr>
            </w:pPr>
          </w:p>
        </w:tc>
        <w:tc>
          <w:tcPr>
            <w:tcW w:w="1491" w:type="dxa"/>
            <w:tcBorders>
              <w:top w:val="single" w:color="auto" w:sz="4" w:space="0"/>
              <w:left w:val="single" w:color="auto" w:sz="4" w:space="0"/>
              <w:bottom w:val="single" w:color="auto" w:sz="4" w:space="0"/>
              <w:right w:val="single" w:color="auto" w:sz="4" w:space="0"/>
            </w:tcBorders>
            <w:shd w:val="clear" w:color="auto" w:fill="auto"/>
            <w:vAlign w:val="center"/>
          </w:tcPr>
          <w:p w14:paraId="764DF63D">
            <w:pPr>
              <w:widowControl/>
              <w:autoSpaceDE w:val="0"/>
              <w:autoSpaceDN w:val="0"/>
              <w:spacing w:line="280" w:lineRule="exact"/>
              <w:jc w:val="center"/>
              <w:rPr>
                <w:rFonts w:ascii="Times New Roman" w:hAnsi="Times New Roman" w:eastAsia="仿宋_GB2312"/>
                <w:color w:val="auto"/>
                <w:szCs w:val="21"/>
              </w:rPr>
            </w:pPr>
            <w:r>
              <w:rPr>
                <w:rFonts w:hint="eastAsia" w:ascii="Times New Roman" w:hAnsi="Times New Roman" w:eastAsia="仿宋_GB2312"/>
                <w:color w:val="auto"/>
                <w:szCs w:val="21"/>
              </w:rPr>
              <w:t>320217334000</w:t>
            </w:r>
          </w:p>
        </w:tc>
        <w:tc>
          <w:tcPr>
            <w:tcW w:w="1481" w:type="dxa"/>
            <w:tcBorders>
              <w:top w:val="single" w:color="auto" w:sz="4" w:space="0"/>
              <w:left w:val="single" w:color="auto" w:sz="4" w:space="0"/>
              <w:bottom w:val="single" w:color="auto" w:sz="4" w:space="0"/>
              <w:right w:val="single" w:color="auto" w:sz="4" w:space="0"/>
            </w:tcBorders>
            <w:shd w:val="clear" w:color="auto" w:fill="auto"/>
            <w:vAlign w:val="center"/>
          </w:tcPr>
          <w:p w14:paraId="283CF58E">
            <w:pPr>
              <w:widowControl/>
              <w:autoSpaceDE w:val="0"/>
              <w:autoSpaceDN w:val="0"/>
              <w:spacing w:line="280" w:lineRule="exact"/>
              <w:rPr>
                <w:rFonts w:ascii="Times New Roman" w:hAnsi="Times New Roman" w:eastAsia="仿宋_GB2312"/>
                <w:color w:val="auto"/>
                <w:szCs w:val="21"/>
              </w:rPr>
            </w:pPr>
            <w:r>
              <w:rPr>
                <w:rFonts w:hint="eastAsia" w:ascii="Times New Roman" w:hAnsi="Times New Roman" w:eastAsia="仿宋_GB2312"/>
                <w:color w:val="auto"/>
                <w:szCs w:val="21"/>
              </w:rPr>
              <w:t>对招标代理机构与招标人、投标人串通损害国家利益、社会公共利益或者他人合法权益的处罚</w:t>
            </w:r>
          </w:p>
        </w:tc>
        <w:tc>
          <w:tcPr>
            <w:tcW w:w="622" w:type="dxa"/>
            <w:tcBorders>
              <w:left w:val="single" w:color="auto" w:sz="4" w:space="0"/>
              <w:bottom w:val="single" w:color="auto" w:sz="4" w:space="0"/>
              <w:right w:val="single" w:color="auto" w:sz="4" w:space="0"/>
            </w:tcBorders>
            <w:shd w:val="clear" w:color="auto" w:fill="auto"/>
            <w:vAlign w:val="center"/>
          </w:tcPr>
          <w:p w14:paraId="5C379CA4">
            <w:pPr>
              <w:spacing w:line="280" w:lineRule="exact"/>
              <w:jc w:val="center"/>
              <w:rPr>
                <w:rFonts w:ascii="Times New Roman" w:hAnsi="Times New Roman" w:eastAsia="仿宋_GB2312"/>
                <w:color w:val="auto"/>
                <w:kern w:val="0"/>
                <w:szCs w:val="21"/>
              </w:rPr>
            </w:pPr>
          </w:p>
        </w:tc>
      </w:tr>
      <w:tr w14:paraId="25D72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1" w:hRule="atLeast"/>
          <w:jc w:val="center"/>
        </w:trPr>
        <w:tc>
          <w:tcPr>
            <w:tcW w:w="536" w:type="dxa"/>
            <w:vMerge w:val="restart"/>
            <w:tcBorders>
              <w:top w:val="single" w:color="auto" w:sz="4" w:space="0"/>
              <w:left w:val="single" w:color="auto" w:sz="4" w:space="0"/>
              <w:right w:val="single" w:color="auto" w:sz="4" w:space="0"/>
            </w:tcBorders>
            <w:shd w:val="clear" w:color="auto" w:fill="auto"/>
            <w:vAlign w:val="center"/>
          </w:tcPr>
          <w:p w14:paraId="7B58BA54">
            <w:pPr>
              <w:widowControl/>
              <w:autoSpaceDE w:val="0"/>
              <w:autoSpaceDN w:val="0"/>
              <w:spacing w:line="280" w:lineRule="exact"/>
              <w:jc w:val="center"/>
              <w:rPr>
                <w:rFonts w:ascii="Times New Roman" w:hAnsi="Times New Roman" w:eastAsia="仿宋_GB2312"/>
                <w:color w:val="auto"/>
                <w:szCs w:val="21"/>
              </w:rPr>
            </w:pPr>
            <w:r>
              <w:rPr>
                <w:rFonts w:hint="eastAsia" w:ascii="Times New Roman" w:hAnsi="Times New Roman" w:eastAsia="仿宋_GB2312"/>
                <w:color w:val="auto"/>
                <w:szCs w:val="21"/>
              </w:rPr>
              <w:t>3</w:t>
            </w:r>
          </w:p>
        </w:tc>
        <w:tc>
          <w:tcPr>
            <w:tcW w:w="1324" w:type="dxa"/>
            <w:vMerge w:val="restart"/>
            <w:tcBorders>
              <w:top w:val="single" w:color="auto" w:sz="4" w:space="0"/>
              <w:left w:val="single" w:color="auto" w:sz="4" w:space="0"/>
              <w:right w:val="single" w:color="auto" w:sz="4" w:space="0"/>
            </w:tcBorders>
            <w:shd w:val="clear" w:color="auto" w:fill="auto"/>
            <w:vAlign w:val="center"/>
          </w:tcPr>
          <w:p w14:paraId="7FE12579">
            <w:pPr>
              <w:widowControl/>
              <w:autoSpaceDE w:val="0"/>
              <w:autoSpaceDN w:val="0"/>
              <w:spacing w:line="280" w:lineRule="exact"/>
              <w:jc w:val="left"/>
              <w:rPr>
                <w:rFonts w:ascii="Times New Roman" w:hAnsi="Times New Roman" w:eastAsia="仿宋_GB2312"/>
                <w:color w:val="auto"/>
                <w:szCs w:val="21"/>
              </w:rPr>
            </w:pPr>
            <w:r>
              <w:rPr>
                <w:rFonts w:hint="eastAsia" w:ascii="Times New Roman" w:hAnsi="Times New Roman" w:eastAsia="仿宋_GB2312"/>
                <w:color w:val="auto"/>
                <w:szCs w:val="21"/>
              </w:rPr>
              <w:t>对建设工程项目勘察、设计、施工、监理及与工程建设有关的重要设备、材料采购的招标投标活动的行政监督和对招标代理机构的行政检查</w:t>
            </w:r>
          </w:p>
        </w:tc>
        <w:tc>
          <w:tcPr>
            <w:tcW w:w="794" w:type="dxa"/>
            <w:vMerge w:val="restart"/>
            <w:tcBorders>
              <w:top w:val="single" w:color="auto" w:sz="4" w:space="0"/>
              <w:left w:val="single" w:color="auto" w:sz="4" w:space="0"/>
              <w:right w:val="single" w:color="auto" w:sz="4" w:space="0"/>
            </w:tcBorders>
            <w:shd w:val="clear" w:color="auto" w:fill="auto"/>
            <w:vAlign w:val="center"/>
          </w:tcPr>
          <w:p w14:paraId="296D9DB5">
            <w:pPr>
              <w:widowControl/>
              <w:autoSpaceDE w:val="0"/>
              <w:autoSpaceDN w:val="0"/>
              <w:spacing w:line="280" w:lineRule="exact"/>
              <w:jc w:val="center"/>
              <w:rPr>
                <w:rFonts w:ascii="Times New Roman" w:hAnsi="Times New Roman" w:eastAsia="仿宋_GB2312"/>
                <w:color w:val="auto"/>
                <w:szCs w:val="21"/>
              </w:rPr>
            </w:pPr>
            <w:r>
              <w:rPr>
                <w:rFonts w:hint="eastAsia" w:ascii="Times New Roman" w:hAnsi="Times New Roman" w:eastAsia="仿宋_GB2312"/>
                <w:color w:val="auto"/>
                <w:szCs w:val="21"/>
              </w:rPr>
              <w:t>苏州市相城区住房和城乡建设局</w:t>
            </w:r>
          </w:p>
        </w:tc>
        <w:tc>
          <w:tcPr>
            <w:tcW w:w="872" w:type="dxa"/>
            <w:vMerge w:val="restart"/>
            <w:tcBorders>
              <w:top w:val="single" w:color="auto" w:sz="4" w:space="0"/>
              <w:left w:val="single" w:color="auto" w:sz="4" w:space="0"/>
              <w:right w:val="single" w:color="auto" w:sz="4" w:space="0"/>
            </w:tcBorders>
            <w:shd w:val="clear" w:color="auto" w:fill="auto"/>
            <w:vAlign w:val="center"/>
          </w:tcPr>
          <w:p w14:paraId="302150BC">
            <w:pPr>
              <w:widowControl/>
              <w:autoSpaceDE w:val="0"/>
              <w:autoSpaceDN w:val="0"/>
              <w:spacing w:line="280" w:lineRule="exact"/>
              <w:jc w:val="left"/>
              <w:rPr>
                <w:rFonts w:ascii="Times New Roman" w:hAnsi="Times New Roman" w:eastAsia="仿宋_GB2312"/>
                <w:color w:val="auto"/>
                <w:szCs w:val="21"/>
              </w:rPr>
            </w:pPr>
            <w:r>
              <w:rPr>
                <w:rFonts w:hint="eastAsia" w:ascii="Times New Roman" w:hAnsi="Times New Roman" w:eastAsia="仿宋_GB2312"/>
                <w:color w:val="auto"/>
                <w:szCs w:val="21"/>
              </w:rPr>
              <w:t>相城区招投标管理服务中心</w:t>
            </w:r>
          </w:p>
        </w:tc>
        <w:tc>
          <w:tcPr>
            <w:tcW w:w="869" w:type="dxa"/>
            <w:vMerge w:val="restart"/>
            <w:tcBorders>
              <w:top w:val="single" w:color="auto" w:sz="4" w:space="0"/>
              <w:left w:val="single" w:color="auto" w:sz="4" w:space="0"/>
              <w:right w:val="single" w:color="auto" w:sz="4" w:space="0"/>
            </w:tcBorders>
            <w:shd w:val="clear" w:color="auto" w:fill="auto"/>
            <w:vAlign w:val="center"/>
          </w:tcPr>
          <w:p w14:paraId="7A8642D7">
            <w:pPr>
              <w:widowControl/>
              <w:autoSpaceDE w:val="0"/>
              <w:autoSpaceDN w:val="0"/>
              <w:spacing w:line="280" w:lineRule="exact"/>
              <w:jc w:val="left"/>
              <w:rPr>
                <w:rFonts w:ascii="Times New Roman" w:hAnsi="Times New Roman" w:eastAsia="仿宋_GB2312"/>
                <w:color w:val="auto"/>
                <w:szCs w:val="21"/>
              </w:rPr>
            </w:pPr>
            <w:r>
              <w:rPr>
                <w:rFonts w:hint="eastAsia" w:ascii="Times New Roman" w:hAnsi="Times New Roman" w:eastAsia="仿宋_GB2312"/>
                <w:color w:val="auto"/>
                <w:szCs w:val="21"/>
              </w:rPr>
              <w:t>招标人、招标代理机构、投标人、中标人、评标委员会</w:t>
            </w:r>
          </w:p>
        </w:tc>
        <w:tc>
          <w:tcPr>
            <w:tcW w:w="4962" w:type="dxa"/>
            <w:vMerge w:val="restart"/>
            <w:tcBorders>
              <w:top w:val="single" w:color="auto" w:sz="4" w:space="0"/>
              <w:left w:val="single" w:color="auto" w:sz="4" w:space="0"/>
              <w:right w:val="single" w:color="auto" w:sz="4" w:space="0"/>
            </w:tcBorders>
            <w:shd w:val="clear" w:color="auto" w:fill="auto"/>
            <w:vAlign w:val="center"/>
          </w:tcPr>
          <w:p w14:paraId="0D66D0BA">
            <w:pPr>
              <w:widowControl/>
              <w:autoSpaceDE w:val="0"/>
              <w:autoSpaceDN w:val="0"/>
              <w:spacing w:line="280" w:lineRule="exact"/>
              <w:jc w:val="left"/>
              <w:rPr>
                <w:rFonts w:ascii="Times New Roman" w:hAnsi="Times New Roman" w:eastAsia="仿宋_GB2312"/>
                <w:color w:val="auto"/>
                <w:szCs w:val="21"/>
              </w:rPr>
            </w:pPr>
            <w:r>
              <w:rPr>
                <w:rFonts w:hint="eastAsia" w:ascii="Times New Roman" w:hAnsi="Times New Roman" w:eastAsia="仿宋_GB2312"/>
                <w:color w:val="auto"/>
                <w:szCs w:val="21"/>
              </w:rPr>
              <w:t>【</w:t>
            </w:r>
            <w:r>
              <w:rPr>
                <w:rFonts w:hint="eastAsia" w:ascii="Times New Roman" w:hAnsi="Times New Roman" w:eastAsia="仿宋_GB2312"/>
                <w:color w:val="auto"/>
                <w:szCs w:val="21"/>
                <w:lang w:val="en-US" w:eastAsia="zh-CN"/>
              </w:rPr>
              <w:t>法律</w:t>
            </w:r>
            <w:r>
              <w:rPr>
                <w:rFonts w:hint="eastAsia" w:ascii="Times New Roman" w:hAnsi="Times New Roman" w:eastAsia="仿宋_GB2312"/>
                <w:color w:val="auto"/>
                <w:szCs w:val="21"/>
              </w:rPr>
              <w:t>】《中华人民共和国招标投标法》</w:t>
            </w:r>
          </w:p>
          <w:p w14:paraId="08CA36CF">
            <w:pPr>
              <w:widowControl/>
              <w:autoSpaceDE w:val="0"/>
              <w:autoSpaceDN w:val="0"/>
              <w:spacing w:line="280" w:lineRule="exact"/>
              <w:jc w:val="left"/>
              <w:rPr>
                <w:rFonts w:ascii="Times New Roman" w:hAnsi="Times New Roman" w:eastAsia="仿宋_GB2312"/>
                <w:color w:val="auto"/>
                <w:szCs w:val="21"/>
              </w:rPr>
            </w:pPr>
            <w:r>
              <w:rPr>
                <w:rFonts w:hint="eastAsia" w:ascii="Times New Roman" w:hAnsi="Times New Roman" w:eastAsia="仿宋_GB2312"/>
                <w:color w:val="auto"/>
                <w:szCs w:val="21"/>
              </w:rPr>
              <w:t xml:space="preserve">    第七条  招标投标活动及其当事人应当接受依法实施的监督。有关行政监督部门依法对招标投标活动实施监督，依法查处招标投标活动中的违法行为。对招标投标活动的行政监督及有关部门的具体职权划分，由国务院规定。</w:t>
            </w:r>
          </w:p>
          <w:p w14:paraId="4D960746">
            <w:pPr>
              <w:widowControl/>
              <w:autoSpaceDE w:val="0"/>
              <w:autoSpaceDN w:val="0"/>
              <w:spacing w:line="280" w:lineRule="exact"/>
              <w:jc w:val="left"/>
              <w:rPr>
                <w:rFonts w:ascii="Times New Roman" w:hAnsi="Times New Roman" w:eastAsia="仿宋_GB2312"/>
                <w:color w:val="auto"/>
                <w:szCs w:val="21"/>
              </w:rPr>
            </w:pPr>
            <w:r>
              <w:rPr>
                <w:rFonts w:hint="eastAsia" w:ascii="Times New Roman" w:hAnsi="Times New Roman" w:eastAsia="仿宋_GB2312"/>
                <w:color w:val="auto"/>
                <w:szCs w:val="21"/>
              </w:rPr>
              <w:t>【法规】《中华人民共和国招标投标法实施条例》</w:t>
            </w:r>
          </w:p>
          <w:p w14:paraId="10D55F79">
            <w:pPr>
              <w:widowControl/>
              <w:autoSpaceDE w:val="0"/>
              <w:autoSpaceDN w:val="0"/>
              <w:spacing w:line="280" w:lineRule="exact"/>
              <w:jc w:val="left"/>
              <w:rPr>
                <w:rFonts w:ascii="Times New Roman" w:hAnsi="Times New Roman" w:eastAsia="仿宋_GB2312"/>
                <w:color w:val="auto"/>
                <w:szCs w:val="21"/>
              </w:rPr>
            </w:pPr>
            <w:r>
              <w:rPr>
                <w:rFonts w:hint="eastAsia" w:ascii="Times New Roman" w:hAnsi="Times New Roman" w:eastAsia="仿宋_GB2312"/>
                <w:color w:val="auto"/>
                <w:szCs w:val="21"/>
              </w:rPr>
              <w:t xml:space="preserve">    第四条  国务院发展改革部门指导和协调全国招标投标工作，对国家重大建设项目的工程招标投标活动实施监督检查。国务院工业和信息化、住房城乡建设、交通运输、铁道、水利、商务等部门，按照规定的职责分工对有关招标投标活动实施监督。县级以上地方人民政府发展改革部门指导和协调本行政区域的招标投标工作。县级以上地方人民政府有关部门按照规定的职责分工，对招标投标活动实施监督，依法查处招标投标活动中的违法行为。县级以上地方人民政府对其所属部门有关招标投标活动的监督职责分工另有规定的，从其规定。</w:t>
            </w:r>
          </w:p>
          <w:p w14:paraId="1F3B9E07">
            <w:pPr>
              <w:widowControl/>
              <w:autoSpaceDE w:val="0"/>
              <w:autoSpaceDN w:val="0"/>
              <w:spacing w:line="280" w:lineRule="exact"/>
              <w:ind w:firstLine="420" w:firstLineChars="200"/>
              <w:jc w:val="left"/>
              <w:rPr>
                <w:rFonts w:ascii="Times New Roman" w:hAnsi="Times New Roman" w:eastAsia="仿宋_GB2312"/>
                <w:color w:val="auto"/>
                <w:szCs w:val="21"/>
              </w:rPr>
            </w:pPr>
            <w:r>
              <w:rPr>
                <w:rFonts w:hint="eastAsia" w:ascii="Times New Roman" w:hAnsi="Times New Roman" w:eastAsia="仿宋_GB2312"/>
                <w:color w:val="auto"/>
                <w:szCs w:val="21"/>
              </w:rPr>
              <w:t>第十一条  国务院住房城乡建设、商务、发展改革、工业和信息化等部门，按照规定的职责分工对招标代理机构依法实施监督管理。</w:t>
            </w:r>
          </w:p>
          <w:p w14:paraId="03CEFAE7">
            <w:pPr>
              <w:widowControl/>
              <w:autoSpaceDE w:val="0"/>
              <w:autoSpaceDN w:val="0"/>
              <w:spacing w:line="280" w:lineRule="exact"/>
              <w:jc w:val="left"/>
              <w:rPr>
                <w:rFonts w:ascii="Times New Roman" w:hAnsi="Times New Roman" w:eastAsia="仿宋_GB2312"/>
                <w:color w:val="auto"/>
                <w:szCs w:val="21"/>
              </w:rPr>
            </w:pPr>
            <w:r>
              <w:rPr>
                <w:rFonts w:hint="eastAsia" w:ascii="Times New Roman" w:hAnsi="Times New Roman" w:eastAsia="仿宋_GB2312"/>
                <w:color w:val="auto"/>
                <w:szCs w:val="21"/>
              </w:rPr>
              <w:t xml:space="preserve">【文件】《住房城乡建设部办公厅关于取消工程建设项目招标代理机构资格认定加强事中事后监管的通知》 </w:t>
            </w:r>
          </w:p>
          <w:p w14:paraId="17B8E76C">
            <w:pPr>
              <w:widowControl/>
              <w:autoSpaceDE w:val="0"/>
              <w:autoSpaceDN w:val="0"/>
              <w:spacing w:line="280" w:lineRule="exact"/>
              <w:jc w:val="left"/>
              <w:rPr>
                <w:rFonts w:ascii="Times New Roman" w:hAnsi="Times New Roman" w:eastAsia="仿宋_GB2312"/>
                <w:color w:val="auto"/>
                <w:szCs w:val="21"/>
              </w:rPr>
            </w:pPr>
            <w:r>
              <w:rPr>
                <w:rFonts w:hint="eastAsia" w:ascii="Times New Roman" w:hAnsi="Times New Roman" w:eastAsia="仿宋_GB2312"/>
                <w:color w:val="auto"/>
                <w:szCs w:val="21"/>
              </w:rPr>
              <w:t xml:space="preserve">    各级住房城乡建设主管部门要高度重视招标代理机构资格认定取消后的事中事后监管工作，完善工作机制，创新监管手段，加强工程建设项目招标投标活动监管，依法严肃查处违法违规行为，促进招投标活动有序开展。</w:t>
            </w:r>
          </w:p>
        </w:tc>
        <w:tc>
          <w:tcPr>
            <w:tcW w:w="992" w:type="dxa"/>
            <w:vMerge w:val="restart"/>
            <w:tcBorders>
              <w:top w:val="single" w:color="auto" w:sz="4" w:space="0"/>
              <w:left w:val="single" w:color="auto" w:sz="4" w:space="0"/>
              <w:right w:val="single" w:color="auto" w:sz="4" w:space="0"/>
            </w:tcBorders>
            <w:shd w:val="clear" w:color="auto" w:fill="auto"/>
            <w:vAlign w:val="center"/>
          </w:tcPr>
          <w:p w14:paraId="565AC5A2">
            <w:pPr>
              <w:widowControl/>
              <w:autoSpaceDE w:val="0"/>
              <w:autoSpaceDN w:val="0"/>
              <w:spacing w:line="280" w:lineRule="exact"/>
              <w:jc w:val="center"/>
              <w:rPr>
                <w:rFonts w:ascii="Times New Roman" w:hAnsi="Times New Roman" w:eastAsia="仿宋_GB2312"/>
                <w:color w:val="auto"/>
                <w:szCs w:val="21"/>
              </w:rPr>
            </w:pPr>
            <w:r>
              <w:rPr>
                <w:rFonts w:hint="eastAsia" w:ascii="Times New Roman" w:hAnsi="Times New Roman" w:eastAsia="仿宋_GB2312"/>
                <w:color w:val="auto"/>
                <w:szCs w:val="21"/>
              </w:rPr>
              <w:t>现场</w:t>
            </w:r>
          </w:p>
          <w:p w14:paraId="34906859">
            <w:pPr>
              <w:widowControl/>
              <w:autoSpaceDE w:val="0"/>
              <w:autoSpaceDN w:val="0"/>
              <w:spacing w:line="280" w:lineRule="exact"/>
              <w:jc w:val="center"/>
              <w:rPr>
                <w:rFonts w:ascii="Times New Roman" w:hAnsi="Times New Roman" w:eastAsia="仿宋_GB2312"/>
                <w:color w:val="auto"/>
                <w:szCs w:val="21"/>
              </w:rPr>
            </w:pPr>
            <w:r>
              <w:rPr>
                <w:rFonts w:hint="eastAsia" w:ascii="Times New Roman" w:hAnsi="Times New Roman" w:eastAsia="仿宋_GB2312"/>
                <w:color w:val="auto"/>
                <w:szCs w:val="21"/>
              </w:rPr>
              <w:t>检查</w:t>
            </w:r>
          </w:p>
        </w:tc>
        <w:tc>
          <w:tcPr>
            <w:tcW w:w="1139" w:type="dxa"/>
            <w:vMerge w:val="restart"/>
            <w:tcBorders>
              <w:top w:val="single" w:color="auto" w:sz="4" w:space="0"/>
              <w:left w:val="single" w:color="auto" w:sz="4" w:space="0"/>
              <w:right w:val="single" w:color="auto" w:sz="4" w:space="0"/>
            </w:tcBorders>
            <w:shd w:val="clear" w:color="auto" w:fill="auto"/>
            <w:vAlign w:val="center"/>
          </w:tcPr>
          <w:p w14:paraId="62ED67A9">
            <w:pPr>
              <w:widowControl/>
              <w:autoSpaceDE w:val="0"/>
              <w:autoSpaceDN w:val="0"/>
              <w:spacing w:line="280" w:lineRule="exact"/>
              <w:jc w:val="center"/>
              <w:rPr>
                <w:rFonts w:ascii="Times New Roman" w:hAnsi="Times New Roman" w:eastAsia="仿宋_GB2312"/>
                <w:color w:val="auto"/>
                <w:szCs w:val="21"/>
              </w:rPr>
            </w:pPr>
            <w:r>
              <w:rPr>
                <w:rFonts w:hint="eastAsia" w:ascii="Times New Roman" w:hAnsi="Times New Roman" w:eastAsia="仿宋_GB2312"/>
                <w:color w:val="auto"/>
                <w:szCs w:val="21"/>
              </w:rPr>
              <w:t>双随机检查，不少于总标段数的5%且不少于10个标段；</w:t>
            </w:r>
          </w:p>
          <w:p w14:paraId="43FA77A5">
            <w:pPr>
              <w:widowControl/>
              <w:autoSpaceDE w:val="0"/>
              <w:autoSpaceDN w:val="0"/>
              <w:spacing w:line="280" w:lineRule="exact"/>
              <w:jc w:val="center"/>
              <w:rPr>
                <w:rFonts w:ascii="Times New Roman" w:hAnsi="Times New Roman" w:eastAsia="仿宋_GB2312"/>
                <w:color w:val="auto"/>
                <w:szCs w:val="21"/>
              </w:rPr>
            </w:pPr>
            <w:r>
              <w:rPr>
                <w:rFonts w:hint="eastAsia" w:ascii="Times New Roman" w:hAnsi="Times New Roman" w:eastAsia="仿宋_GB2312"/>
                <w:color w:val="auto"/>
                <w:szCs w:val="21"/>
              </w:rPr>
              <w:t>对招标代理机构的行政检查与招投标检查合并进行</w:t>
            </w:r>
          </w:p>
        </w:tc>
        <w:tc>
          <w:tcPr>
            <w:tcW w:w="1491" w:type="dxa"/>
            <w:tcBorders>
              <w:top w:val="single" w:color="auto" w:sz="4" w:space="0"/>
              <w:left w:val="single" w:color="auto" w:sz="4" w:space="0"/>
              <w:bottom w:val="single" w:color="auto" w:sz="4" w:space="0"/>
              <w:right w:val="single" w:color="auto" w:sz="4" w:space="0"/>
            </w:tcBorders>
            <w:shd w:val="clear" w:color="auto" w:fill="auto"/>
            <w:vAlign w:val="center"/>
          </w:tcPr>
          <w:p w14:paraId="783F5633">
            <w:pPr>
              <w:widowControl/>
              <w:autoSpaceDE w:val="0"/>
              <w:autoSpaceDN w:val="0"/>
              <w:spacing w:line="280" w:lineRule="exact"/>
              <w:jc w:val="center"/>
              <w:rPr>
                <w:rFonts w:ascii="Times New Roman" w:hAnsi="Times New Roman" w:eastAsia="仿宋_GB2312"/>
                <w:color w:val="auto"/>
                <w:szCs w:val="21"/>
              </w:rPr>
            </w:pPr>
            <w:r>
              <w:rPr>
                <w:rFonts w:hint="eastAsia" w:ascii="Times New Roman" w:hAnsi="Times New Roman" w:eastAsia="仿宋_GB2312"/>
                <w:color w:val="auto"/>
                <w:szCs w:val="21"/>
              </w:rPr>
              <w:t>320217305000</w:t>
            </w:r>
          </w:p>
        </w:tc>
        <w:tc>
          <w:tcPr>
            <w:tcW w:w="1481" w:type="dxa"/>
            <w:tcBorders>
              <w:top w:val="single" w:color="auto" w:sz="4" w:space="0"/>
              <w:left w:val="single" w:color="auto" w:sz="4" w:space="0"/>
              <w:bottom w:val="single" w:color="auto" w:sz="4" w:space="0"/>
              <w:right w:val="single" w:color="auto" w:sz="4" w:space="0"/>
            </w:tcBorders>
            <w:shd w:val="clear" w:color="auto" w:fill="auto"/>
            <w:vAlign w:val="center"/>
          </w:tcPr>
          <w:p w14:paraId="132DE301">
            <w:pPr>
              <w:widowControl/>
              <w:autoSpaceDE w:val="0"/>
              <w:autoSpaceDN w:val="0"/>
              <w:spacing w:line="280" w:lineRule="exact"/>
              <w:rPr>
                <w:rFonts w:ascii="Times New Roman" w:hAnsi="Times New Roman" w:eastAsia="仿宋_GB2312"/>
                <w:color w:val="auto"/>
                <w:szCs w:val="21"/>
              </w:rPr>
            </w:pPr>
            <w:r>
              <w:rPr>
                <w:rFonts w:hint="eastAsia" w:ascii="Times New Roman" w:hAnsi="Times New Roman" w:eastAsia="仿宋_GB2312"/>
                <w:color w:val="auto"/>
                <w:szCs w:val="21"/>
              </w:rPr>
              <w:t>对招标人或其委托的招标代理机构在招标公告中有关获取招标文件的时间和办法的规定明显不合理的处罚</w:t>
            </w:r>
          </w:p>
        </w:tc>
        <w:tc>
          <w:tcPr>
            <w:tcW w:w="622" w:type="dxa"/>
            <w:tcBorders>
              <w:top w:val="single" w:color="auto" w:sz="4" w:space="0"/>
              <w:left w:val="single" w:color="auto" w:sz="4" w:space="0"/>
              <w:right w:val="single" w:color="auto" w:sz="4" w:space="0"/>
            </w:tcBorders>
            <w:shd w:val="clear" w:color="auto" w:fill="auto"/>
            <w:vAlign w:val="center"/>
          </w:tcPr>
          <w:p w14:paraId="73042CDA">
            <w:pPr>
              <w:spacing w:line="280" w:lineRule="exact"/>
              <w:jc w:val="center"/>
              <w:rPr>
                <w:rFonts w:ascii="Times New Roman" w:hAnsi="Times New Roman" w:eastAsia="仿宋_GB2312"/>
                <w:color w:val="auto"/>
                <w:kern w:val="0"/>
                <w:szCs w:val="21"/>
              </w:rPr>
            </w:pPr>
          </w:p>
        </w:tc>
      </w:tr>
      <w:tr w14:paraId="2DFD07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7" w:hRule="atLeast"/>
          <w:jc w:val="center"/>
        </w:trPr>
        <w:tc>
          <w:tcPr>
            <w:tcW w:w="536" w:type="dxa"/>
            <w:vMerge w:val="continue"/>
            <w:tcBorders>
              <w:left w:val="single" w:color="auto" w:sz="4" w:space="0"/>
              <w:right w:val="single" w:color="auto" w:sz="4" w:space="0"/>
            </w:tcBorders>
            <w:shd w:val="clear" w:color="auto" w:fill="auto"/>
            <w:vAlign w:val="center"/>
          </w:tcPr>
          <w:p w14:paraId="3EA6E91D">
            <w:pPr>
              <w:widowControl/>
              <w:autoSpaceDE w:val="0"/>
              <w:autoSpaceDN w:val="0"/>
              <w:spacing w:line="280" w:lineRule="exact"/>
              <w:jc w:val="left"/>
              <w:rPr>
                <w:rFonts w:ascii="Times New Roman" w:hAnsi="Times New Roman" w:eastAsia="仿宋_GB2312"/>
                <w:color w:val="auto"/>
                <w:szCs w:val="21"/>
              </w:rPr>
            </w:pPr>
          </w:p>
        </w:tc>
        <w:tc>
          <w:tcPr>
            <w:tcW w:w="1324" w:type="dxa"/>
            <w:vMerge w:val="continue"/>
            <w:tcBorders>
              <w:left w:val="single" w:color="auto" w:sz="4" w:space="0"/>
              <w:right w:val="single" w:color="auto" w:sz="4" w:space="0"/>
            </w:tcBorders>
            <w:shd w:val="clear" w:color="auto" w:fill="auto"/>
            <w:vAlign w:val="center"/>
          </w:tcPr>
          <w:p w14:paraId="40F8EDD4">
            <w:pPr>
              <w:widowControl/>
              <w:autoSpaceDE w:val="0"/>
              <w:autoSpaceDN w:val="0"/>
              <w:spacing w:line="280" w:lineRule="exact"/>
              <w:jc w:val="left"/>
              <w:rPr>
                <w:rFonts w:ascii="Times New Roman" w:hAnsi="Times New Roman" w:eastAsia="仿宋_GB2312"/>
                <w:color w:val="auto"/>
                <w:szCs w:val="21"/>
              </w:rPr>
            </w:pPr>
          </w:p>
        </w:tc>
        <w:tc>
          <w:tcPr>
            <w:tcW w:w="794" w:type="dxa"/>
            <w:vMerge w:val="continue"/>
            <w:tcBorders>
              <w:left w:val="single" w:color="auto" w:sz="4" w:space="0"/>
              <w:right w:val="single" w:color="auto" w:sz="4" w:space="0"/>
            </w:tcBorders>
            <w:shd w:val="clear" w:color="auto" w:fill="auto"/>
            <w:vAlign w:val="center"/>
          </w:tcPr>
          <w:p w14:paraId="23509020">
            <w:pPr>
              <w:widowControl/>
              <w:autoSpaceDE w:val="0"/>
              <w:autoSpaceDN w:val="0"/>
              <w:spacing w:line="280" w:lineRule="exact"/>
              <w:jc w:val="left"/>
              <w:rPr>
                <w:rFonts w:ascii="Times New Roman" w:hAnsi="Times New Roman" w:eastAsia="仿宋_GB2312"/>
                <w:color w:val="auto"/>
                <w:szCs w:val="21"/>
              </w:rPr>
            </w:pPr>
          </w:p>
        </w:tc>
        <w:tc>
          <w:tcPr>
            <w:tcW w:w="872" w:type="dxa"/>
            <w:vMerge w:val="continue"/>
            <w:tcBorders>
              <w:left w:val="single" w:color="auto" w:sz="4" w:space="0"/>
              <w:right w:val="single" w:color="auto" w:sz="4" w:space="0"/>
            </w:tcBorders>
            <w:shd w:val="clear" w:color="auto" w:fill="auto"/>
            <w:vAlign w:val="center"/>
          </w:tcPr>
          <w:p w14:paraId="175C6312">
            <w:pPr>
              <w:widowControl/>
              <w:autoSpaceDE w:val="0"/>
              <w:autoSpaceDN w:val="0"/>
              <w:spacing w:line="280" w:lineRule="exact"/>
              <w:jc w:val="left"/>
              <w:rPr>
                <w:rFonts w:ascii="Times New Roman" w:hAnsi="Times New Roman" w:eastAsia="仿宋_GB2312"/>
                <w:color w:val="auto"/>
                <w:szCs w:val="21"/>
              </w:rPr>
            </w:pPr>
          </w:p>
        </w:tc>
        <w:tc>
          <w:tcPr>
            <w:tcW w:w="869" w:type="dxa"/>
            <w:vMerge w:val="continue"/>
            <w:tcBorders>
              <w:left w:val="single" w:color="auto" w:sz="4" w:space="0"/>
              <w:right w:val="single" w:color="auto" w:sz="4" w:space="0"/>
            </w:tcBorders>
            <w:shd w:val="clear" w:color="auto" w:fill="auto"/>
            <w:vAlign w:val="center"/>
          </w:tcPr>
          <w:p w14:paraId="70B22DE8">
            <w:pPr>
              <w:widowControl/>
              <w:autoSpaceDE w:val="0"/>
              <w:autoSpaceDN w:val="0"/>
              <w:spacing w:line="280" w:lineRule="exact"/>
              <w:jc w:val="left"/>
              <w:rPr>
                <w:rFonts w:ascii="Times New Roman" w:hAnsi="Times New Roman" w:eastAsia="仿宋_GB2312"/>
                <w:color w:val="auto"/>
                <w:szCs w:val="21"/>
              </w:rPr>
            </w:pPr>
          </w:p>
        </w:tc>
        <w:tc>
          <w:tcPr>
            <w:tcW w:w="4962" w:type="dxa"/>
            <w:vMerge w:val="continue"/>
            <w:tcBorders>
              <w:left w:val="single" w:color="auto" w:sz="4" w:space="0"/>
              <w:right w:val="single" w:color="auto" w:sz="4" w:space="0"/>
            </w:tcBorders>
            <w:shd w:val="clear" w:color="auto" w:fill="auto"/>
            <w:vAlign w:val="center"/>
          </w:tcPr>
          <w:p w14:paraId="6FFAB40E">
            <w:pPr>
              <w:widowControl/>
              <w:autoSpaceDE w:val="0"/>
              <w:autoSpaceDN w:val="0"/>
              <w:spacing w:line="280" w:lineRule="exact"/>
              <w:jc w:val="left"/>
              <w:rPr>
                <w:rFonts w:ascii="Times New Roman" w:hAnsi="Times New Roman" w:eastAsia="仿宋_GB2312"/>
                <w:color w:val="auto"/>
                <w:szCs w:val="21"/>
              </w:rPr>
            </w:pPr>
          </w:p>
        </w:tc>
        <w:tc>
          <w:tcPr>
            <w:tcW w:w="992" w:type="dxa"/>
            <w:vMerge w:val="continue"/>
            <w:tcBorders>
              <w:left w:val="single" w:color="auto" w:sz="4" w:space="0"/>
              <w:right w:val="single" w:color="auto" w:sz="4" w:space="0"/>
            </w:tcBorders>
            <w:shd w:val="clear" w:color="auto" w:fill="auto"/>
            <w:vAlign w:val="center"/>
          </w:tcPr>
          <w:p w14:paraId="50A67005">
            <w:pPr>
              <w:widowControl/>
              <w:autoSpaceDE w:val="0"/>
              <w:autoSpaceDN w:val="0"/>
              <w:spacing w:line="280" w:lineRule="exact"/>
              <w:jc w:val="left"/>
              <w:rPr>
                <w:rFonts w:ascii="Times New Roman" w:hAnsi="Times New Roman" w:eastAsia="仿宋_GB2312"/>
                <w:color w:val="auto"/>
                <w:szCs w:val="21"/>
              </w:rPr>
            </w:pPr>
          </w:p>
        </w:tc>
        <w:tc>
          <w:tcPr>
            <w:tcW w:w="1139" w:type="dxa"/>
            <w:vMerge w:val="continue"/>
            <w:tcBorders>
              <w:left w:val="single" w:color="auto" w:sz="4" w:space="0"/>
              <w:right w:val="single" w:color="auto" w:sz="4" w:space="0"/>
            </w:tcBorders>
            <w:shd w:val="clear" w:color="auto" w:fill="auto"/>
            <w:vAlign w:val="center"/>
          </w:tcPr>
          <w:p w14:paraId="14CB2681">
            <w:pPr>
              <w:widowControl/>
              <w:autoSpaceDE w:val="0"/>
              <w:autoSpaceDN w:val="0"/>
              <w:spacing w:line="280" w:lineRule="exact"/>
              <w:jc w:val="center"/>
              <w:rPr>
                <w:rFonts w:ascii="Times New Roman" w:hAnsi="Times New Roman" w:eastAsia="仿宋_GB2312"/>
                <w:color w:val="auto"/>
                <w:szCs w:val="21"/>
              </w:rPr>
            </w:pPr>
          </w:p>
        </w:tc>
        <w:tc>
          <w:tcPr>
            <w:tcW w:w="1491" w:type="dxa"/>
            <w:tcBorders>
              <w:top w:val="single" w:color="auto" w:sz="4" w:space="0"/>
              <w:left w:val="single" w:color="auto" w:sz="4" w:space="0"/>
              <w:bottom w:val="single" w:color="auto" w:sz="4" w:space="0"/>
              <w:right w:val="single" w:color="auto" w:sz="4" w:space="0"/>
            </w:tcBorders>
            <w:shd w:val="clear" w:color="auto" w:fill="auto"/>
            <w:vAlign w:val="center"/>
          </w:tcPr>
          <w:p w14:paraId="2A1E49EA">
            <w:pPr>
              <w:widowControl/>
              <w:autoSpaceDE w:val="0"/>
              <w:autoSpaceDN w:val="0"/>
              <w:spacing w:line="280" w:lineRule="exact"/>
              <w:jc w:val="center"/>
              <w:rPr>
                <w:rFonts w:ascii="Times New Roman" w:hAnsi="Times New Roman" w:eastAsia="仿宋_GB2312"/>
                <w:color w:val="auto"/>
                <w:szCs w:val="21"/>
              </w:rPr>
            </w:pPr>
            <w:r>
              <w:rPr>
                <w:rFonts w:hint="eastAsia" w:ascii="Times New Roman" w:hAnsi="Times New Roman" w:eastAsia="仿宋_GB2312"/>
                <w:color w:val="auto"/>
                <w:szCs w:val="21"/>
              </w:rPr>
              <w:t>320217293000</w:t>
            </w:r>
          </w:p>
        </w:tc>
        <w:tc>
          <w:tcPr>
            <w:tcW w:w="1481" w:type="dxa"/>
            <w:tcBorders>
              <w:top w:val="single" w:color="auto" w:sz="4" w:space="0"/>
              <w:left w:val="single" w:color="auto" w:sz="4" w:space="0"/>
              <w:bottom w:val="single" w:color="auto" w:sz="4" w:space="0"/>
              <w:right w:val="single" w:color="auto" w:sz="4" w:space="0"/>
            </w:tcBorders>
            <w:shd w:val="clear" w:color="auto" w:fill="auto"/>
            <w:vAlign w:val="center"/>
          </w:tcPr>
          <w:p w14:paraId="0FC0CF35">
            <w:pPr>
              <w:widowControl/>
              <w:autoSpaceDE w:val="0"/>
              <w:autoSpaceDN w:val="0"/>
              <w:spacing w:line="280" w:lineRule="exact"/>
              <w:rPr>
                <w:rFonts w:ascii="Times New Roman" w:hAnsi="Times New Roman" w:eastAsia="仿宋_GB2312"/>
                <w:color w:val="auto"/>
                <w:szCs w:val="21"/>
              </w:rPr>
            </w:pPr>
            <w:r>
              <w:rPr>
                <w:rFonts w:hint="eastAsia" w:ascii="Times New Roman" w:hAnsi="Times New Roman" w:eastAsia="仿宋_GB2312"/>
                <w:color w:val="auto"/>
                <w:szCs w:val="21"/>
              </w:rPr>
              <w:t>对依法应当公开招标而采用邀请招标的处罚</w:t>
            </w:r>
          </w:p>
        </w:tc>
        <w:tc>
          <w:tcPr>
            <w:tcW w:w="622" w:type="dxa"/>
            <w:tcBorders>
              <w:left w:val="single" w:color="auto" w:sz="4" w:space="0"/>
              <w:right w:val="single" w:color="auto" w:sz="4" w:space="0"/>
            </w:tcBorders>
            <w:shd w:val="clear" w:color="auto" w:fill="auto"/>
            <w:vAlign w:val="center"/>
          </w:tcPr>
          <w:p w14:paraId="29268378">
            <w:pPr>
              <w:spacing w:line="280" w:lineRule="exact"/>
              <w:rPr>
                <w:rFonts w:ascii="Times New Roman" w:hAnsi="Times New Roman" w:eastAsia="仿宋_GB2312"/>
                <w:color w:val="auto"/>
                <w:kern w:val="0"/>
                <w:szCs w:val="21"/>
              </w:rPr>
            </w:pPr>
          </w:p>
        </w:tc>
      </w:tr>
      <w:tr w14:paraId="08A43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3" w:hRule="atLeast"/>
          <w:jc w:val="center"/>
        </w:trPr>
        <w:tc>
          <w:tcPr>
            <w:tcW w:w="536" w:type="dxa"/>
            <w:vMerge w:val="continue"/>
            <w:tcBorders>
              <w:left w:val="single" w:color="auto" w:sz="4" w:space="0"/>
              <w:right w:val="single" w:color="auto" w:sz="4" w:space="0"/>
            </w:tcBorders>
            <w:shd w:val="clear" w:color="auto" w:fill="auto"/>
            <w:vAlign w:val="center"/>
          </w:tcPr>
          <w:p w14:paraId="35F4A79F">
            <w:pPr>
              <w:widowControl/>
              <w:autoSpaceDE w:val="0"/>
              <w:autoSpaceDN w:val="0"/>
              <w:spacing w:line="280" w:lineRule="exact"/>
              <w:jc w:val="left"/>
              <w:rPr>
                <w:rFonts w:ascii="Times New Roman" w:hAnsi="Times New Roman" w:eastAsia="仿宋_GB2312"/>
                <w:color w:val="auto"/>
                <w:szCs w:val="21"/>
              </w:rPr>
            </w:pPr>
          </w:p>
        </w:tc>
        <w:tc>
          <w:tcPr>
            <w:tcW w:w="1324" w:type="dxa"/>
            <w:vMerge w:val="continue"/>
            <w:tcBorders>
              <w:left w:val="single" w:color="auto" w:sz="4" w:space="0"/>
              <w:right w:val="single" w:color="auto" w:sz="4" w:space="0"/>
            </w:tcBorders>
            <w:shd w:val="clear" w:color="auto" w:fill="auto"/>
            <w:vAlign w:val="center"/>
          </w:tcPr>
          <w:p w14:paraId="5AB88C49">
            <w:pPr>
              <w:widowControl/>
              <w:autoSpaceDE w:val="0"/>
              <w:autoSpaceDN w:val="0"/>
              <w:spacing w:line="280" w:lineRule="exact"/>
              <w:jc w:val="left"/>
              <w:rPr>
                <w:rFonts w:ascii="Times New Roman" w:hAnsi="Times New Roman" w:eastAsia="仿宋_GB2312"/>
                <w:color w:val="auto"/>
                <w:szCs w:val="21"/>
              </w:rPr>
            </w:pPr>
          </w:p>
        </w:tc>
        <w:tc>
          <w:tcPr>
            <w:tcW w:w="794" w:type="dxa"/>
            <w:vMerge w:val="continue"/>
            <w:tcBorders>
              <w:left w:val="single" w:color="auto" w:sz="4" w:space="0"/>
              <w:right w:val="single" w:color="auto" w:sz="4" w:space="0"/>
            </w:tcBorders>
            <w:shd w:val="clear" w:color="auto" w:fill="auto"/>
            <w:vAlign w:val="center"/>
          </w:tcPr>
          <w:p w14:paraId="59E36A4B">
            <w:pPr>
              <w:widowControl/>
              <w:autoSpaceDE w:val="0"/>
              <w:autoSpaceDN w:val="0"/>
              <w:spacing w:line="280" w:lineRule="exact"/>
              <w:jc w:val="left"/>
              <w:rPr>
                <w:rFonts w:ascii="Times New Roman" w:hAnsi="Times New Roman" w:eastAsia="仿宋_GB2312"/>
                <w:color w:val="auto"/>
                <w:szCs w:val="21"/>
              </w:rPr>
            </w:pPr>
          </w:p>
        </w:tc>
        <w:tc>
          <w:tcPr>
            <w:tcW w:w="872" w:type="dxa"/>
            <w:vMerge w:val="continue"/>
            <w:tcBorders>
              <w:left w:val="single" w:color="auto" w:sz="4" w:space="0"/>
              <w:right w:val="single" w:color="auto" w:sz="4" w:space="0"/>
            </w:tcBorders>
            <w:shd w:val="clear" w:color="auto" w:fill="auto"/>
            <w:vAlign w:val="center"/>
          </w:tcPr>
          <w:p w14:paraId="15DBACFB">
            <w:pPr>
              <w:widowControl/>
              <w:autoSpaceDE w:val="0"/>
              <w:autoSpaceDN w:val="0"/>
              <w:spacing w:line="280" w:lineRule="exact"/>
              <w:jc w:val="left"/>
              <w:rPr>
                <w:rFonts w:ascii="Times New Roman" w:hAnsi="Times New Roman" w:eastAsia="仿宋_GB2312"/>
                <w:color w:val="auto"/>
                <w:szCs w:val="21"/>
              </w:rPr>
            </w:pPr>
          </w:p>
        </w:tc>
        <w:tc>
          <w:tcPr>
            <w:tcW w:w="869" w:type="dxa"/>
            <w:vMerge w:val="continue"/>
            <w:tcBorders>
              <w:left w:val="single" w:color="auto" w:sz="4" w:space="0"/>
              <w:right w:val="single" w:color="auto" w:sz="4" w:space="0"/>
            </w:tcBorders>
            <w:shd w:val="clear" w:color="auto" w:fill="auto"/>
            <w:vAlign w:val="center"/>
          </w:tcPr>
          <w:p w14:paraId="47EC9172">
            <w:pPr>
              <w:widowControl/>
              <w:autoSpaceDE w:val="0"/>
              <w:autoSpaceDN w:val="0"/>
              <w:spacing w:line="280" w:lineRule="exact"/>
              <w:jc w:val="left"/>
              <w:rPr>
                <w:rFonts w:ascii="Times New Roman" w:hAnsi="Times New Roman" w:eastAsia="仿宋_GB2312"/>
                <w:color w:val="auto"/>
                <w:szCs w:val="21"/>
              </w:rPr>
            </w:pPr>
          </w:p>
        </w:tc>
        <w:tc>
          <w:tcPr>
            <w:tcW w:w="4962" w:type="dxa"/>
            <w:vMerge w:val="continue"/>
            <w:tcBorders>
              <w:left w:val="single" w:color="auto" w:sz="4" w:space="0"/>
              <w:right w:val="single" w:color="auto" w:sz="4" w:space="0"/>
            </w:tcBorders>
            <w:shd w:val="clear" w:color="auto" w:fill="auto"/>
            <w:vAlign w:val="center"/>
          </w:tcPr>
          <w:p w14:paraId="71D8C863">
            <w:pPr>
              <w:widowControl/>
              <w:autoSpaceDE w:val="0"/>
              <w:autoSpaceDN w:val="0"/>
              <w:spacing w:line="280" w:lineRule="exact"/>
              <w:jc w:val="left"/>
              <w:rPr>
                <w:rFonts w:ascii="Times New Roman" w:hAnsi="Times New Roman" w:eastAsia="仿宋_GB2312"/>
                <w:color w:val="auto"/>
                <w:szCs w:val="21"/>
              </w:rPr>
            </w:pPr>
          </w:p>
        </w:tc>
        <w:tc>
          <w:tcPr>
            <w:tcW w:w="992" w:type="dxa"/>
            <w:vMerge w:val="continue"/>
            <w:tcBorders>
              <w:left w:val="single" w:color="auto" w:sz="4" w:space="0"/>
              <w:right w:val="single" w:color="auto" w:sz="4" w:space="0"/>
            </w:tcBorders>
            <w:shd w:val="clear" w:color="auto" w:fill="auto"/>
            <w:vAlign w:val="center"/>
          </w:tcPr>
          <w:p w14:paraId="2E58D3F2">
            <w:pPr>
              <w:widowControl/>
              <w:autoSpaceDE w:val="0"/>
              <w:autoSpaceDN w:val="0"/>
              <w:spacing w:line="280" w:lineRule="exact"/>
              <w:jc w:val="left"/>
              <w:rPr>
                <w:rFonts w:ascii="Times New Roman" w:hAnsi="Times New Roman" w:eastAsia="仿宋_GB2312"/>
                <w:color w:val="auto"/>
                <w:szCs w:val="21"/>
              </w:rPr>
            </w:pPr>
          </w:p>
        </w:tc>
        <w:tc>
          <w:tcPr>
            <w:tcW w:w="1139" w:type="dxa"/>
            <w:vMerge w:val="continue"/>
            <w:tcBorders>
              <w:left w:val="single" w:color="auto" w:sz="4" w:space="0"/>
              <w:right w:val="single" w:color="auto" w:sz="4" w:space="0"/>
            </w:tcBorders>
            <w:shd w:val="clear" w:color="auto" w:fill="auto"/>
            <w:vAlign w:val="center"/>
          </w:tcPr>
          <w:p w14:paraId="2801DFA5">
            <w:pPr>
              <w:widowControl/>
              <w:autoSpaceDE w:val="0"/>
              <w:autoSpaceDN w:val="0"/>
              <w:spacing w:line="280" w:lineRule="exact"/>
              <w:jc w:val="center"/>
              <w:rPr>
                <w:rFonts w:ascii="Times New Roman" w:hAnsi="Times New Roman" w:eastAsia="仿宋_GB2312"/>
                <w:color w:val="auto"/>
                <w:szCs w:val="21"/>
              </w:rPr>
            </w:pPr>
          </w:p>
        </w:tc>
        <w:tc>
          <w:tcPr>
            <w:tcW w:w="1491" w:type="dxa"/>
            <w:tcBorders>
              <w:top w:val="single" w:color="auto" w:sz="4" w:space="0"/>
              <w:left w:val="single" w:color="auto" w:sz="4" w:space="0"/>
              <w:bottom w:val="single" w:color="auto" w:sz="4" w:space="0"/>
              <w:right w:val="single" w:color="auto" w:sz="4" w:space="0"/>
            </w:tcBorders>
            <w:shd w:val="clear" w:color="auto" w:fill="auto"/>
            <w:vAlign w:val="center"/>
          </w:tcPr>
          <w:p w14:paraId="6DB30A7A">
            <w:pPr>
              <w:widowControl/>
              <w:autoSpaceDE w:val="0"/>
              <w:autoSpaceDN w:val="0"/>
              <w:spacing w:line="280" w:lineRule="exact"/>
              <w:jc w:val="center"/>
              <w:rPr>
                <w:rFonts w:ascii="Times New Roman" w:hAnsi="Times New Roman" w:eastAsia="仿宋_GB2312"/>
                <w:color w:val="auto"/>
                <w:szCs w:val="21"/>
              </w:rPr>
            </w:pPr>
            <w:r>
              <w:rPr>
                <w:rFonts w:hint="eastAsia" w:ascii="Times New Roman" w:hAnsi="Times New Roman" w:eastAsia="仿宋_GB2312"/>
                <w:color w:val="auto"/>
                <w:szCs w:val="21"/>
              </w:rPr>
              <w:t>320217160000</w:t>
            </w:r>
          </w:p>
        </w:tc>
        <w:tc>
          <w:tcPr>
            <w:tcW w:w="1481" w:type="dxa"/>
            <w:tcBorders>
              <w:top w:val="single" w:color="auto" w:sz="4" w:space="0"/>
              <w:left w:val="single" w:color="auto" w:sz="4" w:space="0"/>
              <w:bottom w:val="single" w:color="auto" w:sz="4" w:space="0"/>
              <w:right w:val="single" w:color="auto" w:sz="4" w:space="0"/>
            </w:tcBorders>
            <w:shd w:val="clear" w:color="auto" w:fill="auto"/>
            <w:vAlign w:val="center"/>
          </w:tcPr>
          <w:p w14:paraId="2111341D">
            <w:pPr>
              <w:widowControl/>
              <w:autoSpaceDE w:val="0"/>
              <w:autoSpaceDN w:val="0"/>
              <w:spacing w:line="280" w:lineRule="exact"/>
              <w:rPr>
                <w:rFonts w:ascii="Times New Roman" w:hAnsi="Times New Roman" w:eastAsia="仿宋_GB2312"/>
                <w:color w:val="auto"/>
                <w:szCs w:val="21"/>
              </w:rPr>
            </w:pPr>
            <w:r>
              <w:rPr>
                <w:rFonts w:hint="eastAsia" w:ascii="Times New Roman" w:hAnsi="Times New Roman" w:eastAsia="仿宋_GB2312"/>
                <w:color w:val="auto"/>
                <w:szCs w:val="21"/>
              </w:rPr>
              <w:t>对中标人无正当理由不与招标人订立合同，在签订合同时向招标人提出附加条件，或者不按照招标文件要求提交履约保证金的处罚</w:t>
            </w:r>
          </w:p>
        </w:tc>
        <w:tc>
          <w:tcPr>
            <w:tcW w:w="622" w:type="dxa"/>
            <w:tcBorders>
              <w:left w:val="single" w:color="auto" w:sz="4" w:space="0"/>
              <w:right w:val="single" w:color="auto" w:sz="4" w:space="0"/>
            </w:tcBorders>
            <w:shd w:val="clear" w:color="auto" w:fill="auto"/>
            <w:vAlign w:val="center"/>
          </w:tcPr>
          <w:p w14:paraId="21FF4AEE">
            <w:pPr>
              <w:spacing w:line="280" w:lineRule="exact"/>
              <w:rPr>
                <w:rFonts w:ascii="Times New Roman" w:hAnsi="Times New Roman" w:eastAsia="仿宋_GB2312"/>
                <w:color w:val="auto"/>
                <w:kern w:val="0"/>
                <w:szCs w:val="21"/>
              </w:rPr>
            </w:pPr>
          </w:p>
        </w:tc>
      </w:tr>
      <w:tr w14:paraId="0B1E9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27" w:hRule="atLeast"/>
          <w:jc w:val="center"/>
        </w:trPr>
        <w:tc>
          <w:tcPr>
            <w:tcW w:w="536" w:type="dxa"/>
            <w:vMerge w:val="continue"/>
            <w:tcBorders>
              <w:left w:val="single" w:color="auto" w:sz="4" w:space="0"/>
              <w:bottom w:val="single" w:color="auto" w:sz="4" w:space="0"/>
              <w:right w:val="single" w:color="auto" w:sz="4" w:space="0"/>
            </w:tcBorders>
            <w:shd w:val="clear" w:color="auto" w:fill="auto"/>
            <w:vAlign w:val="center"/>
          </w:tcPr>
          <w:p w14:paraId="1A5CBB8B">
            <w:pPr>
              <w:widowControl/>
              <w:autoSpaceDE w:val="0"/>
              <w:autoSpaceDN w:val="0"/>
              <w:spacing w:line="280" w:lineRule="exact"/>
              <w:jc w:val="left"/>
              <w:rPr>
                <w:rFonts w:ascii="Times New Roman" w:hAnsi="Times New Roman" w:eastAsia="仿宋_GB2312"/>
                <w:color w:val="auto"/>
                <w:szCs w:val="21"/>
              </w:rPr>
            </w:pPr>
          </w:p>
        </w:tc>
        <w:tc>
          <w:tcPr>
            <w:tcW w:w="1324" w:type="dxa"/>
            <w:vMerge w:val="continue"/>
            <w:tcBorders>
              <w:left w:val="single" w:color="auto" w:sz="4" w:space="0"/>
              <w:bottom w:val="single" w:color="auto" w:sz="4" w:space="0"/>
              <w:right w:val="single" w:color="auto" w:sz="4" w:space="0"/>
            </w:tcBorders>
            <w:shd w:val="clear" w:color="auto" w:fill="auto"/>
            <w:vAlign w:val="center"/>
          </w:tcPr>
          <w:p w14:paraId="6576A056">
            <w:pPr>
              <w:widowControl/>
              <w:autoSpaceDE w:val="0"/>
              <w:autoSpaceDN w:val="0"/>
              <w:spacing w:line="280" w:lineRule="exact"/>
              <w:jc w:val="left"/>
              <w:rPr>
                <w:rFonts w:ascii="Times New Roman" w:hAnsi="Times New Roman" w:eastAsia="仿宋_GB2312"/>
                <w:color w:val="auto"/>
                <w:szCs w:val="21"/>
              </w:rPr>
            </w:pPr>
          </w:p>
        </w:tc>
        <w:tc>
          <w:tcPr>
            <w:tcW w:w="794" w:type="dxa"/>
            <w:vMerge w:val="continue"/>
            <w:tcBorders>
              <w:left w:val="single" w:color="auto" w:sz="4" w:space="0"/>
              <w:bottom w:val="single" w:color="auto" w:sz="4" w:space="0"/>
              <w:right w:val="single" w:color="auto" w:sz="4" w:space="0"/>
            </w:tcBorders>
            <w:shd w:val="clear" w:color="auto" w:fill="auto"/>
            <w:vAlign w:val="center"/>
          </w:tcPr>
          <w:p w14:paraId="00A0980E">
            <w:pPr>
              <w:widowControl/>
              <w:autoSpaceDE w:val="0"/>
              <w:autoSpaceDN w:val="0"/>
              <w:spacing w:line="280" w:lineRule="exact"/>
              <w:jc w:val="left"/>
              <w:rPr>
                <w:rFonts w:ascii="Times New Roman" w:hAnsi="Times New Roman" w:eastAsia="仿宋_GB2312"/>
                <w:color w:val="auto"/>
                <w:szCs w:val="21"/>
              </w:rPr>
            </w:pPr>
          </w:p>
        </w:tc>
        <w:tc>
          <w:tcPr>
            <w:tcW w:w="872" w:type="dxa"/>
            <w:vMerge w:val="continue"/>
            <w:tcBorders>
              <w:left w:val="single" w:color="auto" w:sz="4" w:space="0"/>
              <w:bottom w:val="single" w:color="auto" w:sz="4" w:space="0"/>
              <w:right w:val="single" w:color="auto" w:sz="4" w:space="0"/>
            </w:tcBorders>
            <w:shd w:val="clear" w:color="auto" w:fill="auto"/>
            <w:vAlign w:val="center"/>
          </w:tcPr>
          <w:p w14:paraId="08BD1445">
            <w:pPr>
              <w:widowControl/>
              <w:autoSpaceDE w:val="0"/>
              <w:autoSpaceDN w:val="0"/>
              <w:spacing w:line="280" w:lineRule="exact"/>
              <w:jc w:val="left"/>
              <w:rPr>
                <w:rFonts w:ascii="Times New Roman" w:hAnsi="Times New Roman" w:eastAsia="仿宋_GB2312"/>
                <w:color w:val="auto"/>
                <w:szCs w:val="21"/>
              </w:rPr>
            </w:pPr>
          </w:p>
        </w:tc>
        <w:tc>
          <w:tcPr>
            <w:tcW w:w="869" w:type="dxa"/>
            <w:vMerge w:val="continue"/>
            <w:tcBorders>
              <w:left w:val="single" w:color="auto" w:sz="4" w:space="0"/>
              <w:bottom w:val="single" w:color="auto" w:sz="4" w:space="0"/>
              <w:right w:val="single" w:color="auto" w:sz="4" w:space="0"/>
            </w:tcBorders>
            <w:shd w:val="clear" w:color="auto" w:fill="auto"/>
            <w:vAlign w:val="center"/>
          </w:tcPr>
          <w:p w14:paraId="36D151B5">
            <w:pPr>
              <w:widowControl/>
              <w:autoSpaceDE w:val="0"/>
              <w:autoSpaceDN w:val="0"/>
              <w:spacing w:line="280" w:lineRule="exact"/>
              <w:jc w:val="left"/>
              <w:rPr>
                <w:rFonts w:ascii="Times New Roman" w:hAnsi="Times New Roman" w:eastAsia="仿宋_GB2312"/>
                <w:color w:val="auto"/>
                <w:szCs w:val="21"/>
              </w:rPr>
            </w:pPr>
          </w:p>
        </w:tc>
        <w:tc>
          <w:tcPr>
            <w:tcW w:w="4962" w:type="dxa"/>
            <w:vMerge w:val="continue"/>
            <w:tcBorders>
              <w:left w:val="single" w:color="auto" w:sz="4" w:space="0"/>
              <w:bottom w:val="single" w:color="auto" w:sz="4" w:space="0"/>
              <w:right w:val="single" w:color="auto" w:sz="4" w:space="0"/>
            </w:tcBorders>
            <w:shd w:val="clear" w:color="auto" w:fill="auto"/>
            <w:vAlign w:val="center"/>
          </w:tcPr>
          <w:p w14:paraId="709DCE52">
            <w:pPr>
              <w:widowControl/>
              <w:autoSpaceDE w:val="0"/>
              <w:autoSpaceDN w:val="0"/>
              <w:spacing w:line="280" w:lineRule="exact"/>
              <w:jc w:val="left"/>
              <w:rPr>
                <w:rFonts w:ascii="Times New Roman" w:hAnsi="Times New Roman" w:eastAsia="仿宋_GB2312"/>
                <w:color w:val="auto"/>
                <w:szCs w:val="21"/>
              </w:rPr>
            </w:pPr>
          </w:p>
        </w:tc>
        <w:tc>
          <w:tcPr>
            <w:tcW w:w="992" w:type="dxa"/>
            <w:vMerge w:val="continue"/>
            <w:tcBorders>
              <w:left w:val="single" w:color="auto" w:sz="4" w:space="0"/>
              <w:bottom w:val="single" w:color="auto" w:sz="4" w:space="0"/>
              <w:right w:val="single" w:color="auto" w:sz="4" w:space="0"/>
            </w:tcBorders>
            <w:shd w:val="clear" w:color="auto" w:fill="auto"/>
            <w:vAlign w:val="center"/>
          </w:tcPr>
          <w:p w14:paraId="75521095">
            <w:pPr>
              <w:widowControl/>
              <w:autoSpaceDE w:val="0"/>
              <w:autoSpaceDN w:val="0"/>
              <w:spacing w:line="280" w:lineRule="exact"/>
              <w:jc w:val="left"/>
              <w:rPr>
                <w:rFonts w:ascii="Times New Roman" w:hAnsi="Times New Roman" w:eastAsia="仿宋_GB2312"/>
                <w:color w:val="auto"/>
                <w:szCs w:val="21"/>
              </w:rPr>
            </w:pPr>
          </w:p>
        </w:tc>
        <w:tc>
          <w:tcPr>
            <w:tcW w:w="1139" w:type="dxa"/>
            <w:vMerge w:val="continue"/>
            <w:tcBorders>
              <w:left w:val="single" w:color="auto" w:sz="4" w:space="0"/>
              <w:bottom w:val="single" w:color="auto" w:sz="4" w:space="0"/>
              <w:right w:val="single" w:color="auto" w:sz="4" w:space="0"/>
            </w:tcBorders>
            <w:shd w:val="clear" w:color="auto" w:fill="auto"/>
            <w:vAlign w:val="center"/>
          </w:tcPr>
          <w:p w14:paraId="6BE11F51">
            <w:pPr>
              <w:widowControl/>
              <w:autoSpaceDE w:val="0"/>
              <w:autoSpaceDN w:val="0"/>
              <w:spacing w:line="280" w:lineRule="exact"/>
              <w:jc w:val="center"/>
              <w:rPr>
                <w:rFonts w:ascii="Times New Roman" w:hAnsi="Times New Roman" w:eastAsia="仿宋_GB2312"/>
                <w:color w:val="auto"/>
                <w:szCs w:val="21"/>
              </w:rPr>
            </w:pPr>
          </w:p>
        </w:tc>
        <w:tc>
          <w:tcPr>
            <w:tcW w:w="1491" w:type="dxa"/>
            <w:tcBorders>
              <w:top w:val="single" w:color="auto" w:sz="4" w:space="0"/>
              <w:left w:val="single" w:color="auto" w:sz="4" w:space="0"/>
              <w:bottom w:val="single" w:color="auto" w:sz="4" w:space="0"/>
              <w:right w:val="single" w:color="auto" w:sz="4" w:space="0"/>
            </w:tcBorders>
            <w:shd w:val="clear" w:color="auto" w:fill="auto"/>
            <w:vAlign w:val="center"/>
          </w:tcPr>
          <w:p w14:paraId="6D57B3A7">
            <w:pPr>
              <w:widowControl/>
              <w:autoSpaceDE w:val="0"/>
              <w:autoSpaceDN w:val="0"/>
              <w:spacing w:line="280" w:lineRule="exact"/>
              <w:jc w:val="center"/>
              <w:rPr>
                <w:rFonts w:ascii="Times New Roman" w:hAnsi="Times New Roman" w:eastAsia="仿宋_GB2312"/>
                <w:color w:val="auto"/>
                <w:szCs w:val="21"/>
              </w:rPr>
            </w:pPr>
            <w:r>
              <w:rPr>
                <w:rFonts w:hint="eastAsia" w:ascii="Times New Roman" w:hAnsi="Times New Roman" w:eastAsia="仿宋_GB2312"/>
                <w:color w:val="auto"/>
                <w:szCs w:val="21"/>
              </w:rPr>
              <w:t>320217068000</w:t>
            </w:r>
          </w:p>
        </w:tc>
        <w:tc>
          <w:tcPr>
            <w:tcW w:w="1481" w:type="dxa"/>
            <w:tcBorders>
              <w:top w:val="single" w:color="auto" w:sz="4" w:space="0"/>
              <w:left w:val="single" w:color="auto" w:sz="4" w:space="0"/>
              <w:bottom w:val="single" w:color="auto" w:sz="4" w:space="0"/>
              <w:right w:val="single" w:color="auto" w:sz="4" w:space="0"/>
            </w:tcBorders>
            <w:shd w:val="clear" w:color="auto" w:fill="auto"/>
            <w:vAlign w:val="center"/>
          </w:tcPr>
          <w:p w14:paraId="045C2315">
            <w:pPr>
              <w:widowControl/>
              <w:autoSpaceDE w:val="0"/>
              <w:autoSpaceDN w:val="0"/>
              <w:spacing w:line="280" w:lineRule="exact"/>
              <w:rPr>
                <w:rFonts w:ascii="Times New Roman" w:hAnsi="Times New Roman" w:eastAsia="仿宋_GB2312"/>
                <w:color w:val="auto"/>
                <w:szCs w:val="21"/>
              </w:rPr>
            </w:pPr>
            <w:r>
              <w:rPr>
                <w:rFonts w:hint="eastAsia" w:ascii="Times New Roman" w:hAnsi="Times New Roman" w:eastAsia="仿宋_GB2312"/>
                <w:color w:val="auto"/>
                <w:szCs w:val="21"/>
              </w:rPr>
              <w:t xml:space="preserve">对评标委员会成员应当回避而不回避，擅离职守，不按照招标文件规定的评标标准和方法评标， </w:t>
            </w:r>
          </w:p>
        </w:tc>
        <w:tc>
          <w:tcPr>
            <w:tcW w:w="622" w:type="dxa"/>
            <w:tcBorders>
              <w:left w:val="single" w:color="auto" w:sz="4" w:space="0"/>
              <w:bottom w:val="single" w:color="auto" w:sz="4" w:space="0"/>
              <w:right w:val="single" w:color="auto" w:sz="4" w:space="0"/>
            </w:tcBorders>
            <w:shd w:val="clear" w:color="auto" w:fill="auto"/>
            <w:vAlign w:val="center"/>
          </w:tcPr>
          <w:p w14:paraId="3B15243F">
            <w:pPr>
              <w:spacing w:line="280" w:lineRule="exact"/>
              <w:rPr>
                <w:rFonts w:ascii="Times New Roman" w:hAnsi="Times New Roman" w:eastAsia="仿宋_GB2312"/>
                <w:color w:val="auto"/>
                <w:kern w:val="0"/>
                <w:szCs w:val="21"/>
              </w:rPr>
            </w:pPr>
          </w:p>
        </w:tc>
      </w:tr>
      <w:tr w14:paraId="70FAD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9" w:hRule="atLeast"/>
          <w:jc w:val="center"/>
        </w:trPr>
        <w:tc>
          <w:tcPr>
            <w:tcW w:w="536" w:type="dxa"/>
            <w:vMerge w:val="restart"/>
            <w:tcBorders>
              <w:top w:val="single" w:color="auto" w:sz="4" w:space="0"/>
              <w:left w:val="single" w:color="auto" w:sz="4" w:space="0"/>
              <w:right w:val="single" w:color="auto" w:sz="4" w:space="0"/>
            </w:tcBorders>
            <w:shd w:val="clear" w:color="auto" w:fill="auto"/>
            <w:vAlign w:val="center"/>
          </w:tcPr>
          <w:p w14:paraId="708D702C">
            <w:pPr>
              <w:widowControl/>
              <w:autoSpaceDE w:val="0"/>
              <w:autoSpaceDN w:val="0"/>
              <w:spacing w:line="280" w:lineRule="exact"/>
              <w:jc w:val="center"/>
              <w:rPr>
                <w:rFonts w:ascii="Times New Roman" w:hAnsi="Times New Roman" w:eastAsia="仿宋_GB2312"/>
                <w:color w:val="auto"/>
                <w:szCs w:val="21"/>
              </w:rPr>
            </w:pPr>
            <w:r>
              <w:rPr>
                <w:rFonts w:hint="eastAsia" w:ascii="Times New Roman" w:hAnsi="Times New Roman" w:eastAsia="仿宋_GB2312"/>
                <w:color w:val="auto"/>
                <w:szCs w:val="21"/>
              </w:rPr>
              <w:t>3</w:t>
            </w:r>
          </w:p>
        </w:tc>
        <w:tc>
          <w:tcPr>
            <w:tcW w:w="1324" w:type="dxa"/>
            <w:vMerge w:val="restart"/>
            <w:tcBorders>
              <w:top w:val="single" w:color="auto" w:sz="4" w:space="0"/>
              <w:left w:val="single" w:color="auto" w:sz="4" w:space="0"/>
              <w:right w:val="single" w:color="auto" w:sz="4" w:space="0"/>
            </w:tcBorders>
            <w:shd w:val="clear" w:color="auto" w:fill="auto"/>
            <w:vAlign w:val="center"/>
          </w:tcPr>
          <w:p w14:paraId="56EEE47F">
            <w:pPr>
              <w:widowControl/>
              <w:autoSpaceDE w:val="0"/>
              <w:autoSpaceDN w:val="0"/>
              <w:spacing w:line="280" w:lineRule="exact"/>
              <w:jc w:val="left"/>
              <w:rPr>
                <w:rFonts w:ascii="Times New Roman" w:hAnsi="Times New Roman" w:eastAsia="仿宋_GB2312"/>
                <w:color w:val="auto"/>
                <w:szCs w:val="21"/>
              </w:rPr>
            </w:pPr>
            <w:r>
              <w:rPr>
                <w:rFonts w:hint="eastAsia" w:ascii="Times New Roman" w:hAnsi="Times New Roman" w:eastAsia="仿宋_GB2312"/>
                <w:color w:val="auto"/>
                <w:szCs w:val="21"/>
              </w:rPr>
              <w:t>对建设工程项目勘察、设计、施工、监理及与工程建设有关的重要设备、材料采购的招标投标活动的行政监督和对招标代理机构的行政检查</w:t>
            </w:r>
          </w:p>
        </w:tc>
        <w:tc>
          <w:tcPr>
            <w:tcW w:w="794" w:type="dxa"/>
            <w:vMerge w:val="restart"/>
            <w:tcBorders>
              <w:top w:val="single" w:color="auto" w:sz="4" w:space="0"/>
              <w:left w:val="single" w:color="auto" w:sz="4" w:space="0"/>
              <w:right w:val="single" w:color="auto" w:sz="4" w:space="0"/>
            </w:tcBorders>
            <w:shd w:val="clear" w:color="auto" w:fill="auto"/>
            <w:vAlign w:val="center"/>
          </w:tcPr>
          <w:p w14:paraId="0927EE2E">
            <w:pPr>
              <w:widowControl/>
              <w:autoSpaceDE w:val="0"/>
              <w:autoSpaceDN w:val="0"/>
              <w:spacing w:line="280" w:lineRule="exact"/>
              <w:jc w:val="center"/>
              <w:rPr>
                <w:rFonts w:ascii="Times New Roman" w:hAnsi="Times New Roman" w:eastAsia="仿宋_GB2312"/>
                <w:color w:val="auto"/>
                <w:szCs w:val="21"/>
              </w:rPr>
            </w:pPr>
            <w:r>
              <w:rPr>
                <w:rFonts w:hint="eastAsia" w:ascii="Times New Roman" w:hAnsi="Times New Roman" w:eastAsia="仿宋_GB2312"/>
                <w:color w:val="auto"/>
                <w:szCs w:val="21"/>
              </w:rPr>
              <w:t>苏州市相城区住房和城乡建设局</w:t>
            </w:r>
          </w:p>
        </w:tc>
        <w:tc>
          <w:tcPr>
            <w:tcW w:w="872" w:type="dxa"/>
            <w:vMerge w:val="restart"/>
            <w:tcBorders>
              <w:top w:val="single" w:color="auto" w:sz="4" w:space="0"/>
              <w:left w:val="single" w:color="auto" w:sz="4" w:space="0"/>
              <w:right w:val="single" w:color="auto" w:sz="4" w:space="0"/>
            </w:tcBorders>
            <w:shd w:val="clear" w:color="auto" w:fill="auto"/>
            <w:vAlign w:val="center"/>
          </w:tcPr>
          <w:p w14:paraId="0B8058E1">
            <w:pPr>
              <w:widowControl/>
              <w:autoSpaceDE w:val="0"/>
              <w:autoSpaceDN w:val="0"/>
              <w:spacing w:line="280" w:lineRule="exact"/>
              <w:jc w:val="left"/>
              <w:rPr>
                <w:rFonts w:ascii="Times New Roman" w:hAnsi="Times New Roman" w:eastAsia="仿宋_GB2312"/>
                <w:color w:val="auto"/>
                <w:szCs w:val="21"/>
              </w:rPr>
            </w:pPr>
            <w:r>
              <w:rPr>
                <w:rFonts w:hint="eastAsia" w:ascii="Times New Roman" w:hAnsi="Times New Roman" w:eastAsia="仿宋_GB2312"/>
                <w:color w:val="auto"/>
                <w:szCs w:val="21"/>
              </w:rPr>
              <w:t>相城区招投标管理服务中心</w:t>
            </w:r>
          </w:p>
        </w:tc>
        <w:tc>
          <w:tcPr>
            <w:tcW w:w="869" w:type="dxa"/>
            <w:vMerge w:val="restart"/>
            <w:tcBorders>
              <w:top w:val="single" w:color="auto" w:sz="4" w:space="0"/>
              <w:left w:val="single" w:color="auto" w:sz="4" w:space="0"/>
              <w:right w:val="single" w:color="auto" w:sz="4" w:space="0"/>
            </w:tcBorders>
            <w:shd w:val="clear" w:color="auto" w:fill="auto"/>
            <w:vAlign w:val="center"/>
          </w:tcPr>
          <w:p w14:paraId="56234AF9">
            <w:pPr>
              <w:widowControl/>
              <w:autoSpaceDE w:val="0"/>
              <w:autoSpaceDN w:val="0"/>
              <w:spacing w:line="280" w:lineRule="exact"/>
              <w:jc w:val="left"/>
              <w:rPr>
                <w:rFonts w:ascii="Times New Roman" w:hAnsi="Times New Roman" w:eastAsia="仿宋_GB2312"/>
                <w:color w:val="auto"/>
                <w:szCs w:val="21"/>
              </w:rPr>
            </w:pPr>
            <w:r>
              <w:rPr>
                <w:rFonts w:hint="eastAsia" w:ascii="Times New Roman" w:hAnsi="Times New Roman" w:eastAsia="仿宋_GB2312"/>
                <w:color w:val="auto"/>
                <w:szCs w:val="21"/>
              </w:rPr>
              <w:t>招标人、招标代理机构、投标人、中标人、评标委员会</w:t>
            </w:r>
          </w:p>
        </w:tc>
        <w:tc>
          <w:tcPr>
            <w:tcW w:w="4962" w:type="dxa"/>
            <w:vMerge w:val="restart"/>
            <w:tcBorders>
              <w:top w:val="single" w:color="auto" w:sz="4" w:space="0"/>
              <w:left w:val="single" w:color="auto" w:sz="4" w:space="0"/>
              <w:right w:val="single" w:color="auto" w:sz="4" w:space="0"/>
            </w:tcBorders>
            <w:shd w:val="clear" w:color="auto" w:fill="auto"/>
            <w:vAlign w:val="center"/>
          </w:tcPr>
          <w:p w14:paraId="67D5FF72">
            <w:pPr>
              <w:widowControl/>
              <w:autoSpaceDE w:val="0"/>
              <w:autoSpaceDN w:val="0"/>
              <w:spacing w:line="280" w:lineRule="exact"/>
              <w:jc w:val="left"/>
              <w:rPr>
                <w:rFonts w:ascii="Times New Roman" w:hAnsi="Times New Roman" w:eastAsia="仿宋_GB2312"/>
                <w:color w:val="auto"/>
                <w:szCs w:val="21"/>
              </w:rPr>
            </w:pPr>
            <w:r>
              <w:rPr>
                <w:rFonts w:hint="eastAsia" w:ascii="Times New Roman" w:hAnsi="Times New Roman" w:eastAsia="仿宋_GB2312"/>
                <w:color w:val="auto"/>
                <w:szCs w:val="21"/>
              </w:rPr>
              <w:t>【</w:t>
            </w:r>
            <w:r>
              <w:rPr>
                <w:rFonts w:hint="eastAsia" w:ascii="Times New Roman" w:hAnsi="Times New Roman" w:eastAsia="仿宋_GB2312"/>
                <w:color w:val="auto"/>
                <w:szCs w:val="21"/>
                <w:lang w:val="en-US" w:eastAsia="zh-CN"/>
              </w:rPr>
              <w:t>法律</w:t>
            </w:r>
            <w:r>
              <w:rPr>
                <w:rFonts w:hint="eastAsia" w:ascii="Times New Roman" w:hAnsi="Times New Roman" w:eastAsia="仿宋_GB2312"/>
                <w:color w:val="auto"/>
                <w:szCs w:val="21"/>
              </w:rPr>
              <w:t>】《中华人民共和国招标投标法》</w:t>
            </w:r>
          </w:p>
          <w:p w14:paraId="27E601A9">
            <w:pPr>
              <w:widowControl/>
              <w:autoSpaceDE w:val="0"/>
              <w:autoSpaceDN w:val="0"/>
              <w:spacing w:line="280" w:lineRule="exact"/>
              <w:jc w:val="left"/>
              <w:rPr>
                <w:rFonts w:ascii="Times New Roman" w:hAnsi="Times New Roman" w:eastAsia="仿宋_GB2312"/>
                <w:color w:val="auto"/>
                <w:szCs w:val="21"/>
              </w:rPr>
            </w:pPr>
            <w:r>
              <w:rPr>
                <w:rFonts w:hint="eastAsia" w:ascii="Times New Roman" w:hAnsi="Times New Roman" w:eastAsia="仿宋_GB2312"/>
                <w:color w:val="auto"/>
                <w:szCs w:val="21"/>
              </w:rPr>
              <w:t xml:space="preserve">    第七条  招标投标活动及其当事人应当接受依法实施的监督。有关行政监督部门依法对招标投标活动实施监督，依法查处招标投标活动中的违法行为。对招标投标活动的行政监督及有关部门的具体职权划分，由国务院规定。</w:t>
            </w:r>
          </w:p>
          <w:p w14:paraId="31232133">
            <w:pPr>
              <w:widowControl/>
              <w:autoSpaceDE w:val="0"/>
              <w:autoSpaceDN w:val="0"/>
              <w:spacing w:line="280" w:lineRule="exact"/>
              <w:jc w:val="left"/>
              <w:rPr>
                <w:rFonts w:ascii="Times New Roman" w:hAnsi="Times New Roman" w:eastAsia="仿宋_GB2312"/>
                <w:color w:val="auto"/>
                <w:szCs w:val="21"/>
              </w:rPr>
            </w:pPr>
            <w:r>
              <w:rPr>
                <w:rFonts w:hint="eastAsia" w:ascii="Times New Roman" w:hAnsi="Times New Roman" w:eastAsia="仿宋_GB2312"/>
                <w:color w:val="auto"/>
                <w:szCs w:val="21"/>
              </w:rPr>
              <w:t>【法规】《中华人民共和国招标投标法实施条例》</w:t>
            </w:r>
          </w:p>
          <w:p w14:paraId="63D80A8A">
            <w:pPr>
              <w:widowControl/>
              <w:autoSpaceDE w:val="0"/>
              <w:autoSpaceDN w:val="0"/>
              <w:spacing w:line="280" w:lineRule="exact"/>
              <w:jc w:val="left"/>
              <w:rPr>
                <w:rFonts w:ascii="Times New Roman" w:hAnsi="Times New Roman" w:eastAsia="仿宋_GB2312"/>
                <w:color w:val="auto"/>
                <w:szCs w:val="21"/>
              </w:rPr>
            </w:pPr>
            <w:r>
              <w:rPr>
                <w:rFonts w:hint="eastAsia" w:ascii="Times New Roman" w:hAnsi="Times New Roman" w:eastAsia="仿宋_GB2312"/>
                <w:color w:val="auto"/>
                <w:szCs w:val="21"/>
              </w:rPr>
              <w:t xml:space="preserve">    第四条  国务院发展改革部门指导和协调全国招标投标工作，对国家重大建设项目的工程招标投标活动实施监督检查。国务院工业和信息化、住房城乡建设、交通运输、铁道、水利、商务等部门，按照规定的职责分工对有关招标投标活动实施监督。县级以上地方人民政府发展改革部门指导和协调本行政区域的招标投标工作。县级以上地方人民政府有关部门按照规定的职责分工，对招标投标活动实施监督，依法查处招标投标活动中的违法行为。县级以上地方人民政府对其所属部门有关招标投标活动的监督职责分工另有规定的，从其规定。</w:t>
            </w:r>
          </w:p>
          <w:p w14:paraId="7B393DD1">
            <w:pPr>
              <w:widowControl/>
              <w:autoSpaceDE w:val="0"/>
              <w:autoSpaceDN w:val="0"/>
              <w:spacing w:line="280" w:lineRule="exact"/>
              <w:ind w:firstLine="420" w:firstLineChars="200"/>
              <w:jc w:val="left"/>
              <w:rPr>
                <w:rFonts w:ascii="Times New Roman" w:hAnsi="Times New Roman" w:eastAsia="仿宋_GB2312"/>
                <w:color w:val="auto"/>
                <w:szCs w:val="21"/>
              </w:rPr>
            </w:pPr>
            <w:r>
              <w:rPr>
                <w:rFonts w:hint="eastAsia" w:ascii="Times New Roman" w:hAnsi="Times New Roman" w:eastAsia="仿宋_GB2312"/>
                <w:color w:val="auto"/>
                <w:szCs w:val="21"/>
              </w:rPr>
              <w:t>第十一条  国务院住房城乡建设、商务、发展改革、工业和信息化等部门，按照规定的职责分工对招标代理机构依法实施监督管理。</w:t>
            </w:r>
          </w:p>
          <w:p w14:paraId="292819CD">
            <w:pPr>
              <w:widowControl/>
              <w:autoSpaceDE w:val="0"/>
              <w:autoSpaceDN w:val="0"/>
              <w:spacing w:line="280" w:lineRule="exact"/>
              <w:jc w:val="left"/>
              <w:rPr>
                <w:rFonts w:ascii="Times New Roman" w:hAnsi="Times New Roman" w:eastAsia="仿宋_GB2312"/>
                <w:color w:val="auto"/>
                <w:szCs w:val="21"/>
              </w:rPr>
            </w:pPr>
            <w:r>
              <w:rPr>
                <w:rFonts w:hint="eastAsia" w:ascii="Times New Roman" w:hAnsi="Times New Roman" w:eastAsia="仿宋_GB2312"/>
                <w:color w:val="auto"/>
                <w:szCs w:val="21"/>
              </w:rPr>
              <w:t xml:space="preserve">【文件】《住房城乡建设部办公厅关于取消工程建设项目招标代理机构资格认定加强事中事后监管的通知》 </w:t>
            </w:r>
          </w:p>
          <w:p w14:paraId="13AE2728">
            <w:pPr>
              <w:widowControl/>
              <w:autoSpaceDE w:val="0"/>
              <w:autoSpaceDN w:val="0"/>
              <w:spacing w:line="280" w:lineRule="exact"/>
              <w:jc w:val="left"/>
              <w:rPr>
                <w:rFonts w:ascii="Times New Roman" w:hAnsi="Times New Roman" w:eastAsia="仿宋_GB2312"/>
                <w:color w:val="auto"/>
                <w:szCs w:val="21"/>
              </w:rPr>
            </w:pPr>
            <w:r>
              <w:rPr>
                <w:rFonts w:hint="eastAsia" w:ascii="Times New Roman" w:hAnsi="Times New Roman" w:eastAsia="仿宋_GB2312"/>
                <w:color w:val="auto"/>
                <w:szCs w:val="21"/>
              </w:rPr>
              <w:t xml:space="preserve">    各级住房城乡建设主管部门要高度重视招标代理机构资格认定取消后的事中事后监管工作，完善工作机制，创新监管手段，加强工程建设项目招标投标活动监管，依法严肃查处违法违规行为，促进招投标活动有序开展。</w:t>
            </w:r>
          </w:p>
        </w:tc>
        <w:tc>
          <w:tcPr>
            <w:tcW w:w="992" w:type="dxa"/>
            <w:vMerge w:val="restart"/>
            <w:tcBorders>
              <w:top w:val="single" w:color="auto" w:sz="4" w:space="0"/>
              <w:left w:val="single" w:color="auto" w:sz="4" w:space="0"/>
              <w:right w:val="single" w:color="auto" w:sz="4" w:space="0"/>
            </w:tcBorders>
            <w:shd w:val="clear" w:color="auto" w:fill="auto"/>
            <w:vAlign w:val="center"/>
          </w:tcPr>
          <w:p w14:paraId="3F3FFA90">
            <w:pPr>
              <w:widowControl/>
              <w:autoSpaceDE w:val="0"/>
              <w:autoSpaceDN w:val="0"/>
              <w:spacing w:line="280" w:lineRule="exact"/>
              <w:jc w:val="center"/>
              <w:rPr>
                <w:rFonts w:ascii="Times New Roman" w:hAnsi="Times New Roman" w:eastAsia="仿宋_GB2312"/>
                <w:color w:val="auto"/>
                <w:szCs w:val="21"/>
              </w:rPr>
            </w:pPr>
            <w:r>
              <w:rPr>
                <w:rFonts w:hint="eastAsia" w:ascii="Times New Roman" w:hAnsi="Times New Roman" w:eastAsia="仿宋_GB2312"/>
                <w:color w:val="auto"/>
                <w:szCs w:val="21"/>
              </w:rPr>
              <w:t>现场</w:t>
            </w:r>
          </w:p>
          <w:p w14:paraId="0CB0392E">
            <w:pPr>
              <w:widowControl/>
              <w:autoSpaceDE w:val="0"/>
              <w:autoSpaceDN w:val="0"/>
              <w:spacing w:line="280" w:lineRule="exact"/>
              <w:jc w:val="center"/>
              <w:rPr>
                <w:rFonts w:ascii="Times New Roman" w:hAnsi="Times New Roman" w:eastAsia="仿宋_GB2312"/>
                <w:color w:val="auto"/>
                <w:szCs w:val="21"/>
              </w:rPr>
            </w:pPr>
            <w:r>
              <w:rPr>
                <w:rFonts w:hint="eastAsia" w:ascii="Times New Roman" w:hAnsi="Times New Roman" w:eastAsia="仿宋_GB2312"/>
                <w:color w:val="auto"/>
                <w:szCs w:val="21"/>
              </w:rPr>
              <w:t>检查</w:t>
            </w:r>
          </w:p>
        </w:tc>
        <w:tc>
          <w:tcPr>
            <w:tcW w:w="1139" w:type="dxa"/>
            <w:vMerge w:val="restart"/>
            <w:tcBorders>
              <w:top w:val="single" w:color="auto" w:sz="4" w:space="0"/>
              <w:left w:val="single" w:color="auto" w:sz="4" w:space="0"/>
              <w:right w:val="single" w:color="auto" w:sz="4" w:space="0"/>
            </w:tcBorders>
            <w:shd w:val="clear" w:color="auto" w:fill="auto"/>
            <w:vAlign w:val="center"/>
          </w:tcPr>
          <w:p w14:paraId="05E24538">
            <w:pPr>
              <w:widowControl/>
              <w:autoSpaceDE w:val="0"/>
              <w:autoSpaceDN w:val="0"/>
              <w:spacing w:line="280" w:lineRule="exact"/>
              <w:jc w:val="center"/>
              <w:rPr>
                <w:rFonts w:ascii="Times New Roman" w:hAnsi="Times New Roman" w:eastAsia="仿宋_GB2312"/>
                <w:color w:val="auto"/>
                <w:szCs w:val="21"/>
              </w:rPr>
            </w:pPr>
            <w:r>
              <w:rPr>
                <w:rFonts w:hint="eastAsia" w:ascii="Times New Roman" w:hAnsi="Times New Roman" w:eastAsia="仿宋_GB2312"/>
                <w:color w:val="auto"/>
                <w:szCs w:val="21"/>
              </w:rPr>
              <w:t>双随机检查，不少于总标段数的5%且不少于10个标段；</w:t>
            </w:r>
          </w:p>
          <w:p w14:paraId="08B17510">
            <w:pPr>
              <w:widowControl/>
              <w:autoSpaceDE w:val="0"/>
              <w:autoSpaceDN w:val="0"/>
              <w:spacing w:line="280" w:lineRule="exact"/>
              <w:jc w:val="center"/>
              <w:rPr>
                <w:rFonts w:ascii="Times New Roman" w:hAnsi="Times New Roman" w:eastAsia="仿宋_GB2312"/>
                <w:color w:val="auto"/>
                <w:szCs w:val="21"/>
              </w:rPr>
            </w:pPr>
            <w:r>
              <w:rPr>
                <w:rFonts w:hint="eastAsia" w:ascii="Times New Roman" w:hAnsi="Times New Roman" w:eastAsia="仿宋_GB2312"/>
                <w:color w:val="auto"/>
                <w:szCs w:val="21"/>
              </w:rPr>
              <w:t>对招标代理机构的行政检查与招投标检查合并进行</w:t>
            </w:r>
          </w:p>
        </w:tc>
        <w:tc>
          <w:tcPr>
            <w:tcW w:w="1491" w:type="dxa"/>
            <w:tcBorders>
              <w:top w:val="single" w:color="auto" w:sz="4" w:space="0"/>
              <w:left w:val="single" w:color="auto" w:sz="4" w:space="0"/>
              <w:bottom w:val="single" w:color="auto" w:sz="4" w:space="0"/>
              <w:right w:val="single" w:color="auto" w:sz="4" w:space="0"/>
            </w:tcBorders>
            <w:shd w:val="clear" w:color="auto" w:fill="auto"/>
            <w:vAlign w:val="center"/>
          </w:tcPr>
          <w:p w14:paraId="3AF672BB">
            <w:pPr>
              <w:widowControl/>
              <w:autoSpaceDE w:val="0"/>
              <w:autoSpaceDN w:val="0"/>
              <w:spacing w:line="280" w:lineRule="exact"/>
              <w:jc w:val="center"/>
              <w:rPr>
                <w:rFonts w:ascii="Times New Roman" w:hAnsi="Times New Roman" w:eastAsia="仿宋_GB2312"/>
                <w:color w:val="auto"/>
                <w:szCs w:val="21"/>
              </w:rPr>
            </w:pPr>
            <w:r>
              <w:rPr>
                <w:rFonts w:hint="eastAsia" w:ascii="Times New Roman" w:hAnsi="Times New Roman" w:eastAsia="仿宋_GB2312"/>
                <w:color w:val="auto"/>
                <w:szCs w:val="21"/>
              </w:rPr>
              <w:t>320217068000</w:t>
            </w:r>
          </w:p>
        </w:tc>
        <w:tc>
          <w:tcPr>
            <w:tcW w:w="1481" w:type="dxa"/>
            <w:tcBorders>
              <w:top w:val="single" w:color="auto" w:sz="4" w:space="0"/>
              <w:left w:val="single" w:color="auto" w:sz="4" w:space="0"/>
              <w:bottom w:val="single" w:color="auto" w:sz="4" w:space="0"/>
              <w:right w:val="single" w:color="auto" w:sz="4" w:space="0"/>
            </w:tcBorders>
            <w:shd w:val="clear" w:color="auto" w:fill="auto"/>
            <w:vAlign w:val="center"/>
          </w:tcPr>
          <w:p w14:paraId="2ABFEA90">
            <w:pPr>
              <w:widowControl/>
              <w:autoSpaceDE w:val="0"/>
              <w:autoSpaceDN w:val="0"/>
              <w:spacing w:line="280" w:lineRule="exact"/>
              <w:rPr>
                <w:rFonts w:ascii="Times New Roman" w:hAnsi="Times New Roman" w:eastAsia="仿宋_GB2312"/>
                <w:color w:val="auto"/>
                <w:szCs w:val="21"/>
              </w:rPr>
            </w:pPr>
            <w:r>
              <w:rPr>
                <w:rFonts w:hint="eastAsia" w:ascii="Times New Roman" w:hAnsi="Times New Roman" w:eastAsia="仿宋_GB2312"/>
                <w:color w:val="auto"/>
                <w:szCs w:val="21"/>
              </w:rPr>
              <w:t>私下接触投标人，向招标人征询确定中标人的意向或者接受任何单位或者个人明示或者暗示提出的倾向或者排斥特定投标人的要求，对依法应当否决的投标不提出否决意见，暗示或者诱导投标人作出澄清、说明或者接受投标人主动提出的澄清说明等的处罚</w:t>
            </w:r>
          </w:p>
        </w:tc>
        <w:tc>
          <w:tcPr>
            <w:tcW w:w="622" w:type="dxa"/>
            <w:tcBorders>
              <w:top w:val="single" w:color="auto" w:sz="4" w:space="0"/>
              <w:left w:val="single" w:color="auto" w:sz="4" w:space="0"/>
              <w:right w:val="single" w:color="auto" w:sz="4" w:space="0"/>
            </w:tcBorders>
            <w:shd w:val="clear" w:color="auto" w:fill="auto"/>
            <w:vAlign w:val="center"/>
          </w:tcPr>
          <w:p w14:paraId="45D7D37E">
            <w:pPr>
              <w:spacing w:line="280" w:lineRule="exact"/>
              <w:jc w:val="center"/>
              <w:rPr>
                <w:rFonts w:ascii="Times New Roman" w:hAnsi="Times New Roman" w:eastAsia="仿宋_GB2312"/>
                <w:color w:val="auto"/>
                <w:kern w:val="0"/>
                <w:szCs w:val="21"/>
              </w:rPr>
            </w:pPr>
          </w:p>
        </w:tc>
      </w:tr>
      <w:tr w14:paraId="22451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3" w:hRule="atLeast"/>
          <w:jc w:val="center"/>
        </w:trPr>
        <w:tc>
          <w:tcPr>
            <w:tcW w:w="536" w:type="dxa"/>
            <w:vMerge w:val="continue"/>
            <w:tcBorders>
              <w:left w:val="single" w:color="auto" w:sz="4" w:space="0"/>
              <w:bottom w:val="single" w:color="auto" w:sz="4" w:space="0"/>
              <w:right w:val="single" w:color="auto" w:sz="4" w:space="0"/>
            </w:tcBorders>
            <w:shd w:val="clear" w:color="auto" w:fill="auto"/>
            <w:vAlign w:val="center"/>
          </w:tcPr>
          <w:p w14:paraId="5D29722A">
            <w:pPr>
              <w:widowControl/>
              <w:autoSpaceDE w:val="0"/>
              <w:autoSpaceDN w:val="0"/>
              <w:spacing w:line="280" w:lineRule="exact"/>
              <w:jc w:val="left"/>
              <w:rPr>
                <w:rFonts w:ascii="Times New Roman" w:hAnsi="Times New Roman" w:eastAsia="仿宋_GB2312"/>
                <w:color w:val="auto"/>
                <w:szCs w:val="21"/>
              </w:rPr>
            </w:pPr>
          </w:p>
        </w:tc>
        <w:tc>
          <w:tcPr>
            <w:tcW w:w="1324" w:type="dxa"/>
            <w:vMerge w:val="continue"/>
            <w:tcBorders>
              <w:left w:val="single" w:color="auto" w:sz="4" w:space="0"/>
              <w:bottom w:val="single" w:color="auto" w:sz="4" w:space="0"/>
              <w:right w:val="single" w:color="auto" w:sz="4" w:space="0"/>
            </w:tcBorders>
            <w:shd w:val="clear" w:color="auto" w:fill="auto"/>
            <w:vAlign w:val="center"/>
          </w:tcPr>
          <w:p w14:paraId="688D6F29">
            <w:pPr>
              <w:widowControl/>
              <w:autoSpaceDE w:val="0"/>
              <w:autoSpaceDN w:val="0"/>
              <w:spacing w:line="280" w:lineRule="exact"/>
              <w:jc w:val="left"/>
              <w:rPr>
                <w:rFonts w:ascii="Times New Roman" w:hAnsi="Times New Roman" w:eastAsia="仿宋_GB2312"/>
                <w:color w:val="auto"/>
                <w:szCs w:val="21"/>
              </w:rPr>
            </w:pPr>
          </w:p>
        </w:tc>
        <w:tc>
          <w:tcPr>
            <w:tcW w:w="794" w:type="dxa"/>
            <w:vMerge w:val="continue"/>
            <w:tcBorders>
              <w:left w:val="single" w:color="auto" w:sz="4" w:space="0"/>
              <w:bottom w:val="single" w:color="auto" w:sz="4" w:space="0"/>
              <w:right w:val="single" w:color="auto" w:sz="4" w:space="0"/>
            </w:tcBorders>
            <w:shd w:val="clear" w:color="auto" w:fill="auto"/>
            <w:vAlign w:val="center"/>
          </w:tcPr>
          <w:p w14:paraId="30E02602">
            <w:pPr>
              <w:widowControl/>
              <w:autoSpaceDE w:val="0"/>
              <w:autoSpaceDN w:val="0"/>
              <w:spacing w:line="280" w:lineRule="exact"/>
              <w:jc w:val="left"/>
              <w:rPr>
                <w:rFonts w:ascii="Times New Roman" w:hAnsi="Times New Roman" w:eastAsia="仿宋_GB2312"/>
                <w:color w:val="auto"/>
                <w:szCs w:val="21"/>
              </w:rPr>
            </w:pPr>
          </w:p>
        </w:tc>
        <w:tc>
          <w:tcPr>
            <w:tcW w:w="872" w:type="dxa"/>
            <w:vMerge w:val="continue"/>
            <w:tcBorders>
              <w:left w:val="single" w:color="auto" w:sz="4" w:space="0"/>
              <w:bottom w:val="single" w:color="auto" w:sz="4" w:space="0"/>
              <w:right w:val="single" w:color="auto" w:sz="4" w:space="0"/>
            </w:tcBorders>
            <w:shd w:val="clear" w:color="auto" w:fill="auto"/>
            <w:vAlign w:val="center"/>
          </w:tcPr>
          <w:p w14:paraId="39603BA1">
            <w:pPr>
              <w:widowControl/>
              <w:autoSpaceDE w:val="0"/>
              <w:autoSpaceDN w:val="0"/>
              <w:spacing w:line="280" w:lineRule="exact"/>
              <w:jc w:val="left"/>
              <w:rPr>
                <w:rFonts w:ascii="Times New Roman" w:hAnsi="Times New Roman" w:eastAsia="仿宋_GB2312"/>
                <w:color w:val="auto"/>
                <w:szCs w:val="21"/>
              </w:rPr>
            </w:pPr>
          </w:p>
        </w:tc>
        <w:tc>
          <w:tcPr>
            <w:tcW w:w="869" w:type="dxa"/>
            <w:vMerge w:val="continue"/>
            <w:tcBorders>
              <w:left w:val="single" w:color="auto" w:sz="4" w:space="0"/>
              <w:bottom w:val="single" w:color="auto" w:sz="4" w:space="0"/>
              <w:right w:val="single" w:color="auto" w:sz="4" w:space="0"/>
            </w:tcBorders>
            <w:shd w:val="clear" w:color="auto" w:fill="auto"/>
            <w:vAlign w:val="center"/>
          </w:tcPr>
          <w:p w14:paraId="127BEDAA">
            <w:pPr>
              <w:widowControl/>
              <w:autoSpaceDE w:val="0"/>
              <w:autoSpaceDN w:val="0"/>
              <w:spacing w:line="280" w:lineRule="exact"/>
              <w:jc w:val="left"/>
              <w:rPr>
                <w:rFonts w:ascii="Times New Roman" w:hAnsi="Times New Roman" w:eastAsia="仿宋_GB2312"/>
                <w:color w:val="auto"/>
                <w:szCs w:val="21"/>
              </w:rPr>
            </w:pPr>
          </w:p>
        </w:tc>
        <w:tc>
          <w:tcPr>
            <w:tcW w:w="4962" w:type="dxa"/>
            <w:vMerge w:val="continue"/>
            <w:tcBorders>
              <w:left w:val="single" w:color="auto" w:sz="4" w:space="0"/>
              <w:bottom w:val="single" w:color="auto" w:sz="4" w:space="0"/>
              <w:right w:val="single" w:color="auto" w:sz="4" w:space="0"/>
            </w:tcBorders>
            <w:shd w:val="clear" w:color="auto" w:fill="auto"/>
            <w:vAlign w:val="center"/>
          </w:tcPr>
          <w:p w14:paraId="0B2F8ABE">
            <w:pPr>
              <w:widowControl/>
              <w:autoSpaceDE w:val="0"/>
              <w:autoSpaceDN w:val="0"/>
              <w:spacing w:line="280" w:lineRule="exact"/>
              <w:jc w:val="left"/>
              <w:rPr>
                <w:rFonts w:ascii="Times New Roman" w:hAnsi="Times New Roman" w:eastAsia="仿宋_GB2312"/>
                <w:color w:val="auto"/>
                <w:szCs w:val="21"/>
              </w:rPr>
            </w:pPr>
          </w:p>
        </w:tc>
        <w:tc>
          <w:tcPr>
            <w:tcW w:w="992" w:type="dxa"/>
            <w:vMerge w:val="continue"/>
            <w:tcBorders>
              <w:left w:val="single" w:color="auto" w:sz="4" w:space="0"/>
              <w:bottom w:val="single" w:color="auto" w:sz="4" w:space="0"/>
              <w:right w:val="single" w:color="auto" w:sz="4" w:space="0"/>
            </w:tcBorders>
            <w:shd w:val="clear" w:color="auto" w:fill="auto"/>
            <w:vAlign w:val="center"/>
          </w:tcPr>
          <w:p w14:paraId="53A2A41A">
            <w:pPr>
              <w:widowControl/>
              <w:autoSpaceDE w:val="0"/>
              <w:autoSpaceDN w:val="0"/>
              <w:spacing w:line="280" w:lineRule="exact"/>
              <w:jc w:val="left"/>
              <w:rPr>
                <w:rFonts w:ascii="Times New Roman" w:hAnsi="Times New Roman" w:eastAsia="仿宋_GB2312"/>
                <w:color w:val="auto"/>
                <w:szCs w:val="21"/>
              </w:rPr>
            </w:pPr>
          </w:p>
        </w:tc>
        <w:tc>
          <w:tcPr>
            <w:tcW w:w="1139" w:type="dxa"/>
            <w:vMerge w:val="continue"/>
            <w:tcBorders>
              <w:left w:val="single" w:color="auto" w:sz="4" w:space="0"/>
              <w:bottom w:val="single" w:color="auto" w:sz="4" w:space="0"/>
              <w:right w:val="single" w:color="auto" w:sz="4" w:space="0"/>
            </w:tcBorders>
            <w:shd w:val="clear" w:color="auto" w:fill="auto"/>
            <w:vAlign w:val="center"/>
          </w:tcPr>
          <w:p w14:paraId="61CC464C">
            <w:pPr>
              <w:widowControl/>
              <w:autoSpaceDE w:val="0"/>
              <w:autoSpaceDN w:val="0"/>
              <w:spacing w:line="280" w:lineRule="exact"/>
              <w:jc w:val="center"/>
              <w:rPr>
                <w:rFonts w:ascii="Times New Roman" w:hAnsi="Times New Roman" w:eastAsia="仿宋_GB2312"/>
                <w:color w:val="auto"/>
                <w:szCs w:val="21"/>
              </w:rPr>
            </w:pPr>
          </w:p>
        </w:tc>
        <w:tc>
          <w:tcPr>
            <w:tcW w:w="1491" w:type="dxa"/>
            <w:tcBorders>
              <w:top w:val="single" w:color="auto" w:sz="4" w:space="0"/>
              <w:left w:val="single" w:color="auto" w:sz="4" w:space="0"/>
              <w:bottom w:val="single" w:color="auto" w:sz="4" w:space="0"/>
              <w:right w:val="single" w:color="auto" w:sz="4" w:space="0"/>
            </w:tcBorders>
            <w:shd w:val="clear" w:color="auto" w:fill="auto"/>
            <w:vAlign w:val="center"/>
          </w:tcPr>
          <w:p w14:paraId="21DE24B9">
            <w:pPr>
              <w:widowControl/>
              <w:autoSpaceDE w:val="0"/>
              <w:autoSpaceDN w:val="0"/>
              <w:spacing w:line="280" w:lineRule="exact"/>
              <w:jc w:val="center"/>
              <w:rPr>
                <w:rFonts w:ascii="Times New Roman" w:hAnsi="Times New Roman" w:eastAsia="仿宋_GB2312"/>
                <w:color w:val="auto"/>
                <w:sz w:val="24"/>
              </w:rPr>
            </w:pPr>
            <w:r>
              <w:rPr>
                <w:rFonts w:hint="eastAsia" w:ascii="Times New Roman" w:hAnsi="Times New Roman" w:eastAsia="仿宋_GB2312"/>
                <w:color w:val="auto"/>
                <w:sz w:val="20"/>
              </w:rPr>
              <w:t>3202SZ065000</w:t>
            </w:r>
          </w:p>
        </w:tc>
        <w:tc>
          <w:tcPr>
            <w:tcW w:w="1481" w:type="dxa"/>
            <w:tcBorders>
              <w:top w:val="single" w:color="auto" w:sz="4" w:space="0"/>
              <w:left w:val="single" w:color="auto" w:sz="4" w:space="0"/>
              <w:bottom w:val="single" w:color="auto" w:sz="4" w:space="0"/>
              <w:right w:val="single" w:color="auto" w:sz="4" w:space="0"/>
            </w:tcBorders>
            <w:shd w:val="clear" w:color="auto" w:fill="auto"/>
            <w:vAlign w:val="center"/>
          </w:tcPr>
          <w:p w14:paraId="7982F297">
            <w:pPr>
              <w:widowControl/>
              <w:autoSpaceDE w:val="0"/>
              <w:autoSpaceDN w:val="0"/>
              <w:spacing w:line="280" w:lineRule="exact"/>
              <w:rPr>
                <w:rFonts w:ascii="Times New Roman" w:hAnsi="Times New Roman" w:eastAsia="仿宋_GB2312"/>
                <w:color w:val="auto"/>
                <w:szCs w:val="21"/>
              </w:rPr>
            </w:pPr>
            <w:r>
              <w:rPr>
                <w:rFonts w:hint="eastAsia" w:ascii="Times New Roman" w:hAnsi="Times New Roman" w:eastAsia="仿宋_GB2312"/>
                <w:color w:val="auto"/>
                <w:szCs w:val="21"/>
              </w:rPr>
              <w:t>对建设单位或者项目招标人必须通过招标发包监理业务而没有通过招标发包的处罚</w:t>
            </w:r>
          </w:p>
        </w:tc>
        <w:tc>
          <w:tcPr>
            <w:tcW w:w="622" w:type="dxa"/>
            <w:tcBorders>
              <w:left w:val="single" w:color="auto" w:sz="4" w:space="0"/>
              <w:bottom w:val="single" w:color="auto" w:sz="4" w:space="0"/>
              <w:right w:val="single" w:color="auto" w:sz="4" w:space="0"/>
            </w:tcBorders>
            <w:shd w:val="clear" w:color="auto" w:fill="auto"/>
            <w:vAlign w:val="center"/>
          </w:tcPr>
          <w:p w14:paraId="4828B0BC">
            <w:pPr>
              <w:spacing w:line="280" w:lineRule="exact"/>
              <w:jc w:val="center"/>
              <w:rPr>
                <w:rFonts w:ascii="Times New Roman" w:hAnsi="Times New Roman" w:eastAsia="仿宋_GB2312"/>
                <w:color w:val="auto"/>
                <w:kern w:val="0"/>
                <w:szCs w:val="21"/>
              </w:rPr>
            </w:pPr>
          </w:p>
        </w:tc>
      </w:tr>
      <w:tr w14:paraId="299372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9" w:hRule="atLeast"/>
          <w:jc w:val="center"/>
        </w:trPr>
        <w:tc>
          <w:tcPr>
            <w:tcW w:w="536" w:type="dxa"/>
            <w:vMerge w:val="restart"/>
            <w:tcBorders>
              <w:top w:val="single" w:color="auto" w:sz="4" w:space="0"/>
              <w:left w:val="single" w:color="auto" w:sz="4" w:space="0"/>
              <w:right w:val="single" w:color="auto" w:sz="4" w:space="0"/>
            </w:tcBorders>
            <w:shd w:val="clear" w:color="auto" w:fill="auto"/>
            <w:vAlign w:val="center"/>
          </w:tcPr>
          <w:p w14:paraId="6BA7203F">
            <w:pPr>
              <w:widowControl/>
              <w:autoSpaceDE w:val="0"/>
              <w:autoSpaceDN w:val="0"/>
              <w:spacing w:line="280" w:lineRule="exact"/>
              <w:jc w:val="center"/>
              <w:rPr>
                <w:rFonts w:ascii="Times New Roman" w:hAnsi="Times New Roman" w:eastAsia="仿宋_GB2312"/>
                <w:color w:val="auto"/>
                <w:szCs w:val="21"/>
              </w:rPr>
            </w:pPr>
            <w:r>
              <w:rPr>
                <w:rFonts w:hint="eastAsia" w:ascii="Times New Roman" w:hAnsi="Times New Roman" w:eastAsia="仿宋_GB2312"/>
                <w:color w:val="auto"/>
                <w:szCs w:val="21"/>
              </w:rPr>
              <w:t>3</w:t>
            </w:r>
          </w:p>
        </w:tc>
        <w:tc>
          <w:tcPr>
            <w:tcW w:w="1324" w:type="dxa"/>
            <w:vMerge w:val="restart"/>
            <w:tcBorders>
              <w:top w:val="single" w:color="auto" w:sz="4" w:space="0"/>
              <w:left w:val="single" w:color="auto" w:sz="4" w:space="0"/>
              <w:right w:val="single" w:color="auto" w:sz="4" w:space="0"/>
            </w:tcBorders>
            <w:shd w:val="clear" w:color="auto" w:fill="auto"/>
            <w:vAlign w:val="center"/>
          </w:tcPr>
          <w:p w14:paraId="4A752B10">
            <w:pPr>
              <w:widowControl/>
              <w:autoSpaceDE w:val="0"/>
              <w:autoSpaceDN w:val="0"/>
              <w:spacing w:line="280" w:lineRule="exact"/>
              <w:jc w:val="left"/>
              <w:rPr>
                <w:rFonts w:ascii="Times New Roman" w:hAnsi="Times New Roman" w:eastAsia="仿宋_GB2312"/>
                <w:color w:val="auto"/>
                <w:szCs w:val="21"/>
              </w:rPr>
            </w:pPr>
            <w:r>
              <w:rPr>
                <w:rFonts w:hint="eastAsia" w:ascii="Times New Roman" w:hAnsi="Times New Roman" w:eastAsia="仿宋_GB2312"/>
                <w:color w:val="auto"/>
                <w:szCs w:val="21"/>
              </w:rPr>
              <w:t>对建设工程项目勘察、设计、施工、监理及与工程建设有关的重要设备、材料采购的招标投标活动的行政监督和对招标代理机构的行政检查</w:t>
            </w:r>
          </w:p>
        </w:tc>
        <w:tc>
          <w:tcPr>
            <w:tcW w:w="794" w:type="dxa"/>
            <w:vMerge w:val="restart"/>
            <w:tcBorders>
              <w:top w:val="single" w:color="auto" w:sz="4" w:space="0"/>
              <w:left w:val="single" w:color="auto" w:sz="4" w:space="0"/>
              <w:right w:val="single" w:color="auto" w:sz="4" w:space="0"/>
            </w:tcBorders>
            <w:shd w:val="clear" w:color="auto" w:fill="auto"/>
            <w:vAlign w:val="center"/>
          </w:tcPr>
          <w:p w14:paraId="20743308">
            <w:pPr>
              <w:widowControl/>
              <w:autoSpaceDE w:val="0"/>
              <w:autoSpaceDN w:val="0"/>
              <w:spacing w:line="280" w:lineRule="exact"/>
              <w:jc w:val="center"/>
              <w:rPr>
                <w:rFonts w:ascii="Times New Roman" w:hAnsi="Times New Roman" w:eastAsia="仿宋_GB2312"/>
                <w:color w:val="auto"/>
                <w:szCs w:val="21"/>
              </w:rPr>
            </w:pPr>
            <w:r>
              <w:rPr>
                <w:rFonts w:hint="eastAsia" w:ascii="Times New Roman" w:hAnsi="Times New Roman" w:eastAsia="仿宋_GB2312"/>
                <w:color w:val="auto"/>
                <w:szCs w:val="21"/>
              </w:rPr>
              <w:t>苏州市相城区住房和城乡建设局</w:t>
            </w:r>
          </w:p>
        </w:tc>
        <w:tc>
          <w:tcPr>
            <w:tcW w:w="872" w:type="dxa"/>
            <w:vMerge w:val="restart"/>
            <w:tcBorders>
              <w:top w:val="single" w:color="auto" w:sz="4" w:space="0"/>
              <w:left w:val="single" w:color="auto" w:sz="4" w:space="0"/>
              <w:right w:val="single" w:color="auto" w:sz="4" w:space="0"/>
            </w:tcBorders>
            <w:shd w:val="clear" w:color="auto" w:fill="auto"/>
            <w:vAlign w:val="center"/>
          </w:tcPr>
          <w:p w14:paraId="3C65C293">
            <w:pPr>
              <w:widowControl/>
              <w:autoSpaceDE w:val="0"/>
              <w:autoSpaceDN w:val="0"/>
              <w:spacing w:line="280" w:lineRule="exact"/>
              <w:jc w:val="center"/>
              <w:rPr>
                <w:rFonts w:ascii="Times New Roman" w:hAnsi="Times New Roman" w:eastAsia="仿宋_GB2312"/>
                <w:color w:val="auto"/>
                <w:szCs w:val="21"/>
              </w:rPr>
            </w:pPr>
            <w:r>
              <w:rPr>
                <w:rFonts w:hint="eastAsia" w:ascii="Times New Roman" w:hAnsi="Times New Roman" w:eastAsia="仿宋_GB2312"/>
                <w:color w:val="auto"/>
                <w:szCs w:val="21"/>
              </w:rPr>
              <w:t>相城区招投标管理服务中心</w:t>
            </w:r>
          </w:p>
        </w:tc>
        <w:tc>
          <w:tcPr>
            <w:tcW w:w="869" w:type="dxa"/>
            <w:vMerge w:val="restart"/>
            <w:tcBorders>
              <w:top w:val="single" w:color="auto" w:sz="4" w:space="0"/>
              <w:left w:val="single" w:color="auto" w:sz="4" w:space="0"/>
              <w:right w:val="single" w:color="auto" w:sz="4" w:space="0"/>
            </w:tcBorders>
            <w:shd w:val="clear" w:color="auto" w:fill="auto"/>
            <w:vAlign w:val="center"/>
          </w:tcPr>
          <w:p w14:paraId="735EC3ED">
            <w:pPr>
              <w:widowControl/>
              <w:autoSpaceDE w:val="0"/>
              <w:autoSpaceDN w:val="0"/>
              <w:spacing w:line="280" w:lineRule="exact"/>
              <w:jc w:val="left"/>
              <w:rPr>
                <w:rFonts w:ascii="Times New Roman" w:hAnsi="Times New Roman" w:eastAsia="仿宋_GB2312"/>
                <w:color w:val="auto"/>
                <w:szCs w:val="21"/>
              </w:rPr>
            </w:pPr>
            <w:r>
              <w:rPr>
                <w:rFonts w:hint="eastAsia" w:ascii="Times New Roman" w:hAnsi="Times New Roman" w:eastAsia="仿宋_GB2312"/>
                <w:color w:val="auto"/>
                <w:szCs w:val="21"/>
              </w:rPr>
              <w:t>招标人、招标代理机构、投标人、中标人、评标委员会</w:t>
            </w:r>
          </w:p>
        </w:tc>
        <w:tc>
          <w:tcPr>
            <w:tcW w:w="4962" w:type="dxa"/>
            <w:vMerge w:val="restart"/>
            <w:tcBorders>
              <w:top w:val="single" w:color="auto" w:sz="4" w:space="0"/>
              <w:left w:val="single" w:color="auto" w:sz="4" w:space="0"/>
              <w:right w:val="single" w:color="auto" w:sz="4" w:space="0"/>
            </w:tcBorders>
            <w:shd w:val="clear" w:color="auto" w:fill="auto"/>
            <w:vAlign w:val="center"/>
          </w:tcPr>
          <w:p w14:paraId="15B3A2C2">
            <w:pPr>
              <w:widowControl/>
              <w:autoSpaceDE w:val="0"/>
              <w:autoSpaceDN w:val="0"/>
              <w:spacing w:line="280" w:lineRule="exact"/>
              <w:jc w:val="left"/>
              <w:rPr>
                <w:rFonts w:ascii="Times New Roman" w:hAnsi="Times New Roman" w:eastAsia="仿宋_GB2312"/>
                <w:color w:val="auto"/>
                <w:szCs w:val="21"/>
              </w:rPr>
            </w:pPr>
            <w:r>
              <w:rPr>
                <w:rFonts w:hint="eastAsia" w:ascii="Times New Roman" w:hAnsi="Times New Roman" w:eastAsia="仿宋_GB2312"/>
                <w:color w:val="auto"/>
                <w:szCs w:val="21"/>
              </w:rPr>
              <w:t>【</w:t>
            </w:r>
            <w:r>
              <w:rPr>
                <w:rFonts w:hint="eastAsia" w:ascii="Times New Roman" w:hAnsi="Times New Roman" w:eastAsia="仿宋_GB2312"/>
                <w:color w:val="auto"/>
                <w:szCs w:val="21"/>
                <w:lang w:val="en-US" w:eastAsia="zh-CN"/>
              </w:rPr>
              <w:t>法律</w:t>
            </w:r>
            <w:r>
              <w:rPr>
                <w:rFonts w:hint="eastAsia" w:ascii="Times New Roman" w:hAnsi="Times New Roman" w:eastAsia="仿宋_GB2312"/>
                <w:color w:val="auto"/>
                <w:szCs w:val="21"/>
              </w:rPr>
              <w:t>】《中华人民共和国招标投标法》</w:t>
            </w:r>
          </w:p>
          <w:p w14:paraId="2B0F56F2">
            <w:pPr>
              <w:widowControl/>
              <w:autoSpaceDE w:val="0"/>
              <w:autoSpaceDN w:val="0"/>
              <w:spacing w:line="280" w:lineRule="exact"/>
              <w:jc w:val="left"/>
              <w:rPr>
                <w:rFonts w:ascii="Times New Roman" w:hAnsi="Times New Roman" w:eastAsia="仿宋_GB2312"/>
                <w:color w:val="auto"/>
                <w:szCs w:val="21"/>
              </w:rPr>
            </w:pPr>
            <w:r>
              <w:rPr>
                <w:rFonts w:hint="eastAsia" w:ascii="Times New Roman" w:hAnsi="Times New Roman" w:eastAsia="仿宋_GB2312"/>
                <w:color w:val="auto"/>
                <w:szCs w:val="21"/>
              </w:rPr>
              <w:t xml:space="preserve">    第七条  招标投标活动及其当事人应当接受依法实施的监督。有关行政监督部门依法对招标投标活动实施监督，依法查处招标投标活动中的违法行为。对招标投标活动的行政监督及有关部门的具体职权划分，由国务院规定。</w:t>
            </w:r>
          </w:p>
          <w:p w14:paraId="047C5D21">
            <w:pPr>
              <w:widowControl/>
              <w:autoSpaceDE w:val="0"/>
              <w:autoSpaceDN w:val="0"/>
              <w:spacing w:line="280" w:lineRule="exact"/>
              <w:jc w:val="left"/>
              <w:rPr>
                <w:rFonts w:ascii="Times New Roman" w:hAnsi="Times New Roman" w:eastAsia="仿宋_GB2312"/>
                <w:color w:val="auto"/>
                <w:szCs w:val="21"/>
              </w:rPr>
            </w:pPr>
            <w:r>
              <w:rPr>
                <w:rFonts w:hint="eastAsia" w:ascii="Times New Roman" w:hAnsi="Times New Roman" w:eastAsia="仿宋_GB2312"/>
                <w:color w:val="auto"/>
                <w:szCs w:val="21"/>
              </w:rPr>
              <w:t>【法规】《中华人民共和国招标投标法实施条例》</w:t>
            </w:r>
          </w:p>
          <w:p w14:paraId="53736F15">
            <w:pPr>
              <w:widowControl/>
              <w:autoSpaceDE w:val="0"/>
              <w:autoSpaceDN w:val="0"/>
              <w:spacing w:line="280" w:lineRule="exact"/>
              <w:jc w:val="left"/>
              <w:rPr>
                <w:rFonts w:ascii="Times New Roman" w:hAnsi="Times New Roman" w:eastAsia="仿宋_GB2312"/>
                <w:color w:val="auto"/>
                <w:szCs w:val="21"/>
              </w:rPr>
            </w:pPr>
            <w:r>
              <w:rPr>
                <w:rFonts w:hint="eastAsia" w:ascii="Times New Roman" w:hAnsi="Times New Roman" w:eastAsia="仿宋_GB2312"/>
                <w:color w:val="auto"/>
                <w:szCs w:val="21"/>
              </w:rPr>
              <w:t xml:space="preserve">    第四条  国务院发展改革部门指导和协调全国招标投标工作，对国家重大建设项目的工程招标投标活动实施监督检查。国务院工业和信息化、住房城乡建设、交通运输、铁道、水利、商务等部门，按照规定的职责分工对有关招标投标活动实施监督。县级以上地方人民政府发展改革部门指导和协调本行政区域的招标投标工作。县级以上地方人民政府有关部门按照规定的职责分工，对招标投标活动实施监督，依法查处招标投标活动中的违法行为。县级以上地方人民政府对其所属部门有关招标投标活动的监督职责分工另有规定的，从其规定。</w:t>
            </w:r>
          </w:p>
          <w:p w14:paraId="6C86F713">
            <w:pPr>
              <w:widowControl/>
              <w:autoSpaceDE w:val="0"/>
              <w:autoSpaceDN w:val="0"/>
              <w:spacing w:line="280" w:lineRule="exact"/>
              <w:ind w:firstLine="420" w:firstLineChars="200"/>
              <w:jc w:val="left"/>
              <w:rPr>
                <w:rFonts w:ascii="Times New Roman" w:hAnsi="Times New Roman" w:eastAsia="仿宋_GB2312"/>
                <w:color w:val="auto"/>
                <w:szCs w:val="21"/>
              </w:rPr>
            </w:pPr>
            <w:r>
              <w:rPr>
                <w:rFonts w:hint="eastAsia" w:ascii="Times New Roman" w:hAnsi="Times New Roman" w:eastAsia="仿宋_GB2312"/>
                <w:color w:val="auto"/>
                <w:szCs w:val="21"/>
              </w:rPr>
              <w:t>第十一条  国务院住房城乡建设、商务、发展改革、工业和信息化等部门，按照规定的职责分工对招标代理机构依法实施监督管理。</w:t>
            </w:r>
          </w:p>
          <w:p w14:paraId="278EB630">
            <w:pPr>
              <w:widowControl/>
              <w:autoSpaceDE w:val="0"/>
              <w:autoSpaceDN w:val="0"/>
              <w:spacing w:line="280" w:lineRule="exact"/>
              <w:jc w:val="left"/>
              <w:rPr>
                <w:rFonts w:ascii="Times New Roman" w:hAnsi="Times New Roman" w:eastAsia="仿宋_GB2312"/>
                <w:color w:val="auto"/>
                <w:szCs w:val="21"/>
              </w:rPr>
            </w:pPr>
            <w:r>
              <w:rPr>
                <w:rFonts w:hint="eastAsia" w:ascii="Times New Roman" w:hAnsi="Times New Roman" w:eastAsia="仿宋_GB2312"/>
                <w:color w:val="auto"/>
                <w:szCs w:val="21"/>
              </w:rPr>
              <w:t xml:space="preserve">【文件】《住房城乡建设部办公厅关于取消工程建设项目招标代理机构资格认定加强事中事后监管的通知》 </w:t>
            </w:r>
          </w:p>
          <w:p w14:paraId="0EAE0793">
            <w:pPr>
              <w:widowControl/>
              <w:autoSpaceDE w:val="0"/>
              <w:autoSpaceDN w:val="0"/>
              <w:spacing w:line="280" w:lineRule="exact"/>
              <w:jc w:val="left"/>
              <w:rPr>
                <w:rFonts w:ascii="Times New Roman" w:hAnsi="Times New Roman" w:eastAsia="仿宋_GB2312"/>
                <w:color w:val="auto"/>
                <w:szCs w:val="21"/>
              </w:rPr>
            </w:pPr>
            <w:r>
              <w:rPr>
                <w:rFonts w:hint="eastAsia" w:ascii="Times New Roman" w:hAnsi="Times New Roman" w:eastAsia="仿宋_GB2312"/>
                <w:color w:val="auto"/>
                <w:szCs w:val="21"/>
              </w:rPr>
              <w:t xml:space="preserve">    各级住房城乡建设主管部门要高度重视招标代理机构资格认定取消后的事中事后监管工作，完善工作机制，创新监管手段，加强工程建设项目招标投标活动监管，依法严肃查处违法违规行为，促进招投标活动有序开展。</w:t>
            </w:r>
          </w:p>
        </w:tc>
        <w:tc>
          <w:tcPr>
            <w:tcW w:w="992" w:type="dxa"/>
            <w:vMerge w:val="restart"/>
            <w:tcBorders>
              <w:top w:val="single" w:color="auto" w:sz="4" w:space="0"/>
              <w:left w:val="single" w:color="auto" w:sz="4" w:space="0"/>
              <w:right w:val="single" w:color="auto" w:sz="4" w:space="0"/>
            </w:tcBorders>
            <w:shd w:val="clear" w:color="auto" w:fill="auto"/>
            <w:vAlign w:val="center"/>
          </w:tcPr>
          <w:p w14:paraId="5B93C48F">
            <w:pPr>
              <w:widowControl/>
              <w:autoSpaceDE w:val="0"/>
              <w:autoSpaceDN w:val="0"/>
              <w:spacing w:line="280" w:lineRule="exact"/>
              <w:jc w:val="center"/>
              <w:rPr>
                <w:rFonts w:ascii="Times New Roman" w:hAnsi="Times New Roman" w:eastAsia="仿宋_GB2312"/>
                <w:color w:val="auto"/>
                <w:szCs w:val="21"/>
              </w:rPr>
            </w:pPr>
            <w:r>
              <w:rPr>
                <w:rFonts w:hint="eastAsia" w:ascii="Times New Roman" w:hAnsi="Times New Roman" w:eastAsia="仿宋_GB2312"/>
                <w:color w:val="auto"/>
                <w:szCs w:val="21"/>
              </w:rPr>
              <w:t>现场</w:t>
            </w:r>
          </w:p>
          <w:p w14:paraId="750376A0">
            <w:pPr>
              <w:widowControl/>
              <w:autoSpaceDE w:val="0"/>
              <w:autoSpaceDN w:val="0"/>
              <w:spacing w:line="280" w:lineRule="exact"/>
              <w:jc w:val="center"/>
              <w:rPr>
                <w:rFonts w:ascii="Times New Roman" w:hAnsi="Times New Roman" w:eastAsia="仿宋_GB2312"/>
                <w:color w:val="auto"/>
                <w:szCs w:val="21"/>
              </w:rPr>
            </w:pPr>
            <w:r>
              <w:rPr>
                <w:rFonts w:hint="eastAsia" w:ascii="Times New Roman" w:hAnsi="Times New Roman" w:eastAsia="仿宋_GB2312"/>
                <w:color w:val="auto"/>
                <w:szCs w:val="21"/>
              </w:rPr>
              <w:t>检查</w:t>
            </w:r>
          </w:p>
        </w:tc>
        <w:tc>
          <w:tcPr>
            <w:tcW w:w="1139" w:type="dxa"/>
            <w:vMerge w:val="restart"/>
            <w:tcBorders>
              <w:top w:val="single" w:color="auto" w:sz="4" w:space="0"/>
              <w:left w:val="single" w:color="auto" w:sz="4" w:space="0"/>
              <w:right w:val="single" w:color="auto" w:sz="4" w:space="0"/>
            </w:tcBorders>
            <w:shd w:val="clear" w:color="auto" w:fill="auto"/>
            <w:vAlign w:val="center"/>
          </w:tcPr>
          <w:p w14:paraId="71EB080C">
            <w:pPr>
              <w:widowControl/>
              <w:autoSpaceDE w:val="0"/>
              <w:autoSpaceDN w:val="0"/>
              <w:spacing w:line="280" w:lineRule="exact"/>
              <w:jc w:val="center"/>
              <w:rPr>
                <w:rFonts w:ascii="Times New Roman" w:hAnsi="Times New Roman" w:eastAsia="仿宋_GB2312"/>
                <w:color w:val="auto"/>
                <w:szCs w:val="21"/>
              </w:rPr>
            </w:pPr>
            <w:r>
              <w:rPr>
                <w:rFonts w:hint="eastAsia" w:ascii="Times New Roman" w:hAnsi="Times New Roman" w:eastAsia="仿宋_GB2312"/>
                <w:color w:val="auto"/>
                <w:szCs w:val="21"/>
              </w:rPr>
              <w:t>双随机检查，不少于总标段数的5%且不少于10个标段；</w:t>
            </w:r>
          </w:p>
          <w:p w14:paraId="75C12356">
            <w:pPr>
              <w:widowControl/>
              <w:autoSpaceDE w:val="0"/>
              <w:autoSpaceDN w:val="0"/>
              <w:spacing w:line="280" w:lineRule="exact"/>
              <w:jc w:val="center"/>
              <w:rPr>
                <w:rFonts w:ascii="Times New Roman" w:hAnsi="Times New Roman" w:eastAsia="仿宋_GB2312"/>
                <w:color w:val="auto"/>
                <w:szCs w:val="21"/>
              </w:rPr>
            </w:pPr>
            <w:r>
              <w:rPr>
                <w:rFonts w:hint="eastAsia" w:ascii="Times New Roman" w:hAnsi="Times New Roman" w:eastAsia="仿宋_GB2312"/>
                <w:color w:val="auto"/>
                <w:szCs w:val="21"/>
              </w:rPr>
              <w:t>对招标代理机构的行政检查与招投标检查合并进行</w:t>
            </w:r>
          </w:p>
        </w:tc>
        <w:tc>
          <w:tcPr>
            <w:tcW w:w="1491" w:type="dxa"/>
            <w:tcBorders>
              <w:top w:val="single" w:color="auto" w:sz="4" w:space="0"/>
              <w:left w:val="single" w:color="auto" w:sz="4" w:space="0"/>
              <w:bottom w:val="single" w:color="auto" w:sz="4" w:space="0"/>
              <w:right w:val="single" w:color="auto" w:sz="4" w:space="0"/>
            </w:tcBorders>
            <w:shd w:val="clear" w:color="auto" w:fill="auto"/>
            <w:vAlign w:val="center"/>
          </w:tcPr>
          <w:p w14:paraId="0809BDD9">
            <w:pPr>
              <w:widowControl/>
              <w:autoSpaceDE w:val="0"/>
              <w:autoSpaceDN w:val="0"/>
              <w:spacing w:line="280" w:lineRule="exact"/>
              <w:jc w:val="center"/>
              <w:rPr>
                <w:rFonts w:ascii="Times New Roman" w:hAnsi="Times New Roman" w:eastAsia="仿宋_GB2312"/>
                <w:color w:val="auto"/>
                <w:sz w:val="20"/>
                <w:szCs w:val="21"/>
              </w:rPr>
            </w:pPr>
            <w:r>
              <w:rPr>
                <w:rFonts w:hint="eastAsia" w:ascii="Times New Roman" w:hAnsi="Times New Roman" w:eastAsia="仿宋_GB2312"/>
                <w:color w:val="auto"/>
                <w:sz w:val="20"/>
                <w:szCs w:val="21"/>
              </w:rPr>
              <w:t>3202SZ064000</w:t>
            </w:r>
          </w:p>
        </w:tc>
        <w:tc>
          <w:tcPr>
            <w:tcW w:w="1481" w:type="dxa"/>
            <w:tcBorders>
              <w:top w:val="single" w:color="auto" w:sz="4" w:space="0"/>
              <w:left w:val="single" w:color="auto" w:sz="4" w:space="0"/>
              <w:bottom w:val="single" w:color="auto" w:sz="4" w:space="0"/>
              <w:right w:val="single" w:color="auto" w:sz="4" w:space="0"/>
            </w:tcBorders>
            <w:shd w:val="clear" w:color="auto" w:fill="auto"/>
            <w:vAlign w:val="center"/>
          </w:tcPr>
          <w:p w14:paraId="0297B142">
            <w:pPr>
              <w:widowControl/>
              <w:autoSpaceDE w:val="0"/>
              <w:autoSpaceDN w:val="0"/>
              <w:spacing w:line="280" w:lineRule="exact"/>
              <w:rPr>
                <w:rFonts w:ascii="Times New Roman" w:hAnsi="Times New Roman" w:eastAsia="仿宋_GB2312"/>
                <w:color w:val="auto"/>
                <w:szCs w:val="21"/>
              </w:rPr>
            </w:pPr>
            <w:r>
              <w:rPr>
                <w:rFonts w:hint="eastAsia" w:ascii="Times New Roman" w:hAnsi="Times New Roman" w:eastAsia="仿宋_GB2312"/>
                <w:color w:val="auto"/>
                <w:szCs w:val="21"/>
              </w:rPr>
              <w:t>对投标人之间存在控股关系或者隶属关系的，在同一建设工程项目招标中同时投标的处罚</w:t>
            </w:r>
          </w:p>
        </w:tc>
        <w:tc>
          <w:tcPr>
            <w:tcW w:w="622" w:type="dxa"/>
            <w:tcBorders>
              <w:top w:val="single" w:color="auto" w:sz="4" w:space="0"/>
              <w:left w:val="single" w:color="auto" w:sz="4" w:space="0"/>
              <w:right w:val="single" w:color="auto" w:sz="4" w:space="0"/>
            </w:tcBorders>
            <w:shd w:val="clear" w:color="auto" w:fill="auto"/>
            <w:vAlign w:val="center"/>
          </w:tcPr>
          <w:p w14:paraId="45B584AA">
            <w:pPr>
              <w:spacing w:line="280" w:lineRule="exact"/>
              <w:jc w:val="center"/>
              <w:rPr>
                <w:rFonts w:ascii="Times New Roman" w:hAnsi="Times New Roman" w:eastAsia="仿宋_GB2312"/>
                <w:color w:val="auto"/>
                <w:kern w:val="0"/>
                <w:szCs w:val="21"/>
              </w:rPr>
            </w:pPr>
          </w:p>
        </w:tc>
      </w:tr>
      <w:tr w14:paraId="00A361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7" w:hRule="atLeast"/>
          <w:jc w:val="center"/>
        </w:trPr>
        <w:tc>
          <w:tcPr>
            <w:tcW w:w="536" w:type="dxa"/>
            <w:vMerge w:val="continue"/>
            <w:tcBorders>
              <w:left w:val="single" w:color="auto" w:sz="4" w:space="0"/>
              <w:bottom w:val="single" w:color="auto" w:sz="4" w:space="0"/>
              <w:right w:val="single" w:color="auto" w:sz="4" w:space="0"/>
            </w:tcBorders>
            <w:shd w:val="clear" w:color="auto" w:fill="auto"/>
            <w:vAlign w:val="center"/>
          </w:tcPr>
          <w:p w14:paraId="6F939078">
            <w:pPr>
              <w:widowControl/>
              <w:autoSpaceDE w:val="0"/>
              <w:autoSpaceDN w:val="0"/>
              <w:spacing w:line="280" w:lineRule="exact"/>
              <w:jc w:val="left"/>
              <w:rPr>
                <w:rFonts w:ascii="Times New Roman" w:hAnsi="Times New Roman" w:eastAsia="仿宋_GB2312"/>
                <w:color w:val="auto"/>
                <w:szCs w:val="21"/>
              </w:rPr>
            </w:pPr>
          </w:p>
        </w:tc>
        <w:tc>
          <w:tcPr>
            <w:tcW w:w="1324" w:type="dxa"/>
            <w:vMerge w:val="continue"/>
            <w:tcBorders>
              <w:left w:val="single" w:color="auto" w:sz="4" w:space="0"/>
              <w:bottom w:val="single" w:color="auto" w:sz="4" w:space="0"/>
              <w:right w:val="single" w:color="auto" w:sz="4" w:space="0"/>
            </w:tcBorders>
            <w:shd w:val="clear" w:color="auto" w:fill="auto"/>
            <w:vAlign w:val="center"/>
          </w:tcPr>
          <w:p w14:paraId="72B35AFA">
            <w:pPr>
              <w:widowControl/>
              <w:autoSpaceDE w:val="0"/>
              <w:autoSpaceDN w:val="0"/>
              <w:spacing w:line="280" w:lineRule="exact"/>
              <w:jc w:val="left"/>
              <w:rPr>
                <w:rFonts w:ascii="Times New Roman" w:hAnsi="Times New Roman" w:eastAsia="仿宋_GB2312"/>
                <w:color w:val="auto"/>
                <w:szCs w:val="21"/>
              </w:rPr>
            </w:pPr>
          </w:p>
        </w:tc>
        <w:tc>
          <w:tcPr>
            <w:tcW w:w="794" w:type="dxa"/>
            <w:vMerge w:val="continue"/>
            <w:tcBorders>
              <w:left w:val="single" w:color="auto" w:sz="4" w:space="0"/>
              <w:bottom w:val="single" w:color="auto" w:sz="4" w:space="0"/>
              <w:right w:val="single" w:color="auto" w:sz="4" w:space="0"/>
            </w:tcBorders>
            <w:shd w:val="clear" w:color="auto" w:fill="auto"/>
            <w:vAlign w:val="center"/>
          </w:tcPr>
          <w:p w14:paraId="603AF500">
            <w:pPr>
              <w:widowControl/>
              <w:autoSpaceDE w:val="0"/>
              <w:autoSpaceDN w:val="0"/>
              <w:spacing w:line="280" w:lineRule="exact"/>
              <w:jc w:val="left"/>
              <w:rPr>
                <w:rFonts w:ascii="Times New Roman" w:hAnsi="Times New Roman" w:eastAsia="仿宋_GB2312"/>
                <w:color w:val="auto"/>
                <w:szCs w:val="21"/>
              </w:rPr>
            </w:pPr>
          </w:p>
        </w:tc>
        <w:tc>
          <w:tcPr>
            <w:tcW w:w="872" w:type="dxa"/>
            <w:vMerge w:val="continue"/>
            <w:tcBorders>
              <w:left w:val="single" w:color="auto" w:sz="4" w:space="0"/>
              <w:bottom w:val="single" w:color="auto" w:sz="4" w:space="0"/>
              <w:right w:val="single" w:color="auto" w:sz="4" w:space="0"/>
            </w:tcBorders>
            <w:shd w:val="clear" w:color="auto" w:fill="auto"/>
            <w:vAlign w:val="center"/>
          </w:tcPr>
          <w:p w14:paraId="7B99DD23">
            <w:pPr>
              <w:widowControl/>
              <w:autoSpaceDE w:val="0"/>
              <w:autoSpaceDN w:val="0"/>
              <w:spacing w:line="280" w:lineRule="exact"/>
              <w:jc w:val="left"/>
              <w:rPr>
                <w:rFonts w:ascii="Times New Roman" w:hAnsi="Times New Roman" w:eastAsia="仿宋_GB2312"/>
                <w:color w:val="auto"/>
                <w:szCs w:val="21"/>
              </w:rPr>
            </w:pPr>
          </w:p>
        </w:tc>
        <w:tc>
          <w:tcPr>
            <w:tcW w:w="869" w:type="dxa"/>
            <w:vMerge w:val="continue"/>
            <w:tcBorders>
              <w:left w:val="single" w:color="auto" w:sz="4" w:space="0"/>
              <w:bottom w:val="single" w:color="auto" w:sz="4" w:space="0"/>
              <w:right w:val="single" w:color="auto" w:sz="4" w:space="0"/>
            </w:tcBorders>
            <w:shd w:val="clear" w:color="auto" w:fill="auto"/>
            <w:vAlign w:val="center"/>
          </w:tcPr>
          <w:p w14:paraId="081F1A18">
            <w:pPr>
              <w:widowControl/>
              <w:autoSpaceDE w:val="0"/>
              <w:autoSpaceDN w:val="0"/>
              <w:spacing w:line="280" w:lineRule="exact"/>
              <w:jc w:val="left"/>
              <w:rPr>
                <w:rFonts w:ascii="Times New Roman" w:hAnsi="Times New Roman" w:eastAsia="仿宋_GB2312"/>
                <w:color w:val="auto"/>
                <w:szCs w:val="21"/>
              </w:rPr>
            </w:pPr>
          </w:p>
        </w:tc>
        <w:tc>
          <w:tcPr>
            <w:tcW w:w="4962" w:type="dxa"/>
            <w:vMerge w:val="continue"/>
            <w:tcBorders>
              <w:left w:val="single" w:color="auto" w:sz="4" w:space="0"/>
              <w:bottom w:val="single" w:color="auto" w:sz="4" w:space="0"/>
              <w:right w:val="single" w:color="auto" w:sz="4" w:space="0"/>
            </w:tcBorders>
            <w:shd w:val="clear" w:color="auto" w:fill="auto"/>
            <w:vAlign w:val="center"/>
          </w:tcPr>
          <w:p w14:paraId="0C2821FF">
            <w:pPr>
              <w:widowControl/>
              <w:autoSpaceDE w:val="0"/>
              <w:autoSpaceDN w:val="0"/>
              <w:spacing w:line="280" w:lineRule="exact"/>
              <w:jc w:val="left"/>
              <w:rPr>
                <w:rFonts w:ascii="Times New Roman" w:hAnsi="Times New Roman" w:eastAsia="仿宋_GB2312"/>
                <w:color w:val="auto"/>
                <w:szCs w:val="21"/>
              </w:rPr>
            </w:pPr>
          </w:p>
        </w:tc>
        <w:tc>
          <w:tcPr>
            <w:tcW w:w="992" w:type="dxa"/>
            <w:vMerge w:val="continue"/>
            <w:tcBorders>
              <w:left w:val="single" w:color="auto" w:sz="4" w:space="0"/>
              <w:bottom w:val="single" w:color="auto" w:sz="4" w:space="0"/>
              <w:right w:val="single" w:color="auto" w:sz="4" w:space="0"/>
            </w:tcBorders>
            <w:shd w:val="clear" w:color="auto" w:fill="auto"/>
            <w:vAlign w:val="center"/>
          </w:tcPr>
          <w:p w14:paraId="0D91E495">
            <w:pPr>
              <w:widowControl/>
              <w:autoSpaceDE w:val="0"/>
              <w:autoSpaceDN w:val="0"/>
              <w:spacing w:line="280" w:lineRule="exact"/>
              <w:jc w:val="left"/>
              <w:rPr>
                <w:rFonts w:ascii="Times New Roman" w:hAnsi="Times New Roman" w:eastAsia="仿宋_GB2312"/>
                <w:color w:val="auto"/>
                <w:szCs w:val="21"/>
              </w:rPr>
            </w:pPr>
          </w:p>
        </w:tc>
        <w:tc>
          <w:tcPr>
            <w:tcW w:w="1139" w:type="dxa"/>
            <w:vMerge w:val="continue"/>
            <w:tcBorders>
              <w:left w:val="single" w:color="auto" w:sz="4" w:space="0"/>
              <w:bottom w:val="single" w:color="auto" w:sz="4" w:space="0"/>
              <w:right w:val="single" w:color="auto" w:sz="4" w:space="0"/>
            </w:tcBorders>
            <w:shd w:val="clear" w:color="auto" w:fill="auto"/>
            <w:vAlign w:val="center"/>
          </w:tcPr>
          <w:p w14:paraId="382C8BA2">
            <w:pPr>
              <w:widowControl/>
              <w:autoSpaceDE w:val="0"/>
              <w:autoSpaceDN w:val="0"/>
              <w:spacing w:line="280" w:lineRule="exact"/>
              <w:jc w:val="center"/>
              <w:rPr>
                <w:rFonts w:ascii="Times New Roman" w:hAnsi="Times New Roman" w:eastAsia="仿宋_GB2312"/>
                <w:color w:val="auto"/>
                <w:szCs w:val="21"/>
              </w:rPr>
            </w:pPr>
          </w:p>
        </w:tc>
        <w:tc>
          <w:tcPr>
            <w:tcW w:w="1491" w:type="dxa"/>
            <w:tcBorders>
              <w:top w:val="single" w:color="auto" w:sz="4" w:space="0"/>
              <w:left w:val="single" w:color="auto" w:sz="4" w:space="0"/>
              <w:bottom w:val="single" w:color="auto" w:sz="4" w:space="0"/>
              <w:right w:val="single" w:color="auto" w:sz="4" w:space="0"/>
            </w:tcBorders>
            <w:shd w:val="clear" w:color="auto" w:fill="auto"/>
            <w:vAlign w:val="center"/>
          </w:tcPr>
          <w:p w14:paraId="02A2FF8E">
            <w:pPr>
              <w:widowControl/>
              <w:autoSpaceDE w:val="0"/>
              <w:autoSpaceDN w:val="0"/>
              <w:spacing w:line="280" w:lineRule="exact"/>
              <w:jc w:val="center"/>
              <w:rPr>
                <w:rFonts w:ascii="Times New Roman" w:hAnsi="Times New Roman" w:eastAsia="仿宋_GB2312"/>
                <w:color w:val="auto"/>
                <w:sz w:val="20"/>
                <w:szCs w:val="21"/>
              </w:rPr>
            </w:pPr>
            <w:r>
              <w:rPr>
                <w:rFonts w:hint="eastAsia" w:ascii="Times New Roman" w:hAnsi="Times New Roman" w:eastAsia="仿宋_GB2312"/>
                <w:color w:val="auto"/>
                <w:sz w:val="20"/>
                <w:szCs w:val="21"/>
              </w:rPr>
              <w:t>3202SZ063000</w:t>
            </w:r>
          </w:p>
        </w:tc>
        <w:tc>
          <w:tcPr>
            <w:tcW w:w="1481" w:type="dxa"/>
            <w:tcBorders>
              <w:top w:val="single" w:color="auto" w:sz="4" w:space="0"/>
              <w:left w:val="single" w:color="auto" w:sz="4" w:space="0"/>
              <w:bottom w:val="single" w:color="auto" w:sz="4" w:space="0"/>
              <w:right w:val="single" w:color="auto" w:sz="4" w:space="0"/>
            </w:tcBorders>
            <w:shd w:val="clear" w:color="auto" w:fill="auto"/>
            <w:vAlign w:val="center"/>
          </w:tcPr>
          <w:p w14:paraId="799782FE">
            <w:pPr>
              <w:widowControl/>
              <w:autoSpaceDE w:val="0"/>
              <w:autoSpaceDN w:val="0"/>
              <w:spacing w:line="280" w:lineRule="exact"/>
              <w:rPr>
                <w:rFonts w:ascii="Times New Roman" w:hAnsi="Times New Roman" w:eastAsia="仿宋_GB2312"/>
                <w:color w:val="auto"/>
                <w:szCs w:val="21"/>
              </w:rPr>
            </w:pPr>
            <w:r>
              <w:rPr>
                <w:rFonts w:hint="eastAsia" w:ascii="Times New Roman" w:hAnsi="Times New Roman" w:eastAsia="仿宋_GB2312"/>
                <w:color w:val="auto"/>
                <w:szCs w:val="21"/>
              </w:rPr>
              <w:t>对法定代表人为同一个人的两个或者两个以上企业法人，同时参加同一建设工程项目的投标的处罚</w:t>
            </w:r>
          </w:p>
        </w:tc>
        <w:tc>
          <w:tcPr>
            <w:tcW w:w="622" w:type="dxa"/>
            <w:tcBorders>
              <w:left w:val="single" w:color="auto" w:sz="4" w:space="0"/>
              <w:bottom w:val="single" w:color="auto" w:sz="4" w:space="0"/>
              <w:right w:val="single" w:color="auto" w:sz="4" w:space="0"/>
            </w:tcBorders>
            <w:shd w:val="clear" w:color="auto" w:fill="auto"/>
            <w:vAlign w:val="center"/>
          </w:tcPr>
          <w:p w14:paraId="1484B4E3">
            <w:pPr>
              <w:spacing w:line="280" w:lineRule="exact"/>
              <w:rPr>
                <w:rFonts w:ascii="Times New Roman" w:hAnsi="Times New Roman" w:eastAsia="仿宋_GB2312"/>
                <w:color w:val="auto"/>
                <w:kern w:val="0"/>
                <w:szCs w:val="21"/>
              </w:rPr>
            </w:pPr>
          </w:p>
        </w:tc>
      </w:tr>
      <w:tr w14:paraId="3C514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1" w:hRule="atLeast"/>
          <w:jc w:val="center"/>
        </w:trPr>
        <w:tc>
          <w:tcPr>
            <w:tcW w:w="536" w:type="dxa"/>
            <w:vMerge w:val="restart"/>
            <w:tcBorders>
              <w:top w:val="single" w:color="auto" w:sz="4" w:space="0"/>
              <w:left w:val="single" w:color="auto" w:sz="4" w:space="0"/>
              <w:right w:val="single" w:color="auto" w:sz="4" w:space="0"/>
            </w:tcBorders>
            <w:shd w:val="clear" w:color="auto" w:fill="auto"/>
            <w:vAlign w:val="center"/>
          </w:tcPr>
          <w:p w14:paraId="665016E0">
            <w:pPr>
              <w:widowControl/>
              <w:autoSpaceDE w:val="0"/>
              <w:autoSpaceDN w:val="0"/>
              <w:spacing w:line="280" w:lineRule="exact"/>
              <w:jc w:val="center"/>
              <w:rPr>
                <w:rFonts w:ascii="Times New Roman" w:hAnsi="Times New Roman" w:eastAsia="仿宋_GB2312"/>
                <w:color w:val="auto"/>
                <w:szCs w:val="21"/>
              </w:rPr>
            </w:pPr>
            <w:r>
              <w:rPr>
                <w:rFonts w:hint="eastAsia" w:ascii="Times New Roman" w:hAnsi="Times New Roman" w:eastAsia="仿宋_GB2312"/>
                <w:color w:val="auto"/>
                <w:szCs w:val="21"/>
              </w:rPr>
              <w:t>4</w:t>
            </w:r>
          </w:p>
        </w:tc>
        <w:tc>
          <w:tcPr>
            <w:tcW w:w="1324" w:type="dxa"/>
            <w:vMerge w:val="restart"/>
            <w:tcBorders>
              <w:top w:val="single" w:color="auto" w:sz="4" w:space="0"/>
              <w:left w:val="single" w:color="auto" w:sz="4" w:space="0"/>
              <w:right w:val="single" w:color="auto" w:sz="4" w:space="0"/>
            </w:tcBorders>
            <w:shd w:val="clear" w:color="auto" w:fill="auto"/>
            <w:vAlign w:val="center"/>
          </w:tcPr>
          <w:p w14:paraId="7F69A78C">
            <w:pPr>
              <w:widowControl/>
              <w:autoSpaceDE w:val="0"/>
              <w:autoSpaceDN w:val="0"/>
              <w:spacing w:line="280" w:lineRule="exact"/>
              <w:jc w:val="left"/>
              <w:rPr>
                <w:rFonts w:ascii="Times New Roman" w:hAnsi="Times New Roman" w:eastAsia="仿宋_GB2312"/>
                <w:color w:val="auto"/>
                <w:szCs w:val="21"/>
              </w:rPr>
            </w:pPr>
            <w:r>
              <w:rPr>
                <w:rFonts w:hint="eastAsia" w:ascii="Times New Roman" w:hAnsi="Times New Roman" w:eastAsia="仿宋_GB2312"/>
                <w:color w:val="auto"/>
                <w:szCs w:val="21"/>
              </w:rPr>
              <w:t>建筑业企业资质核查</w:t>
            </w:r>
          </w:p>
        </w:tc>
        <w:tc>
          <w:tcPr>
            <w:tcW w:w="794" w:type="dxa"/>
            <w:vMerge w:val="restart"/>
            <w:tcBorders>
              <w:top w:val="single" w:color="auto" w:sz="4" w:space="0"/>
              <w:left w:val="single" w:color="auto" w:sz="4" w:space="0"/>
              <w:right w:val="single" w:color="auto" w:sz="4" w:space="0"/>
            </w:tcBorders>
            <w:shd w:val="clear" w:color="auto" w:fill="auto"/>
            <w:vAlign w:val="center"/>
          </w:tcPr>
          <w:p w14:paraId="11E5B0C6">
            <w:pPr>
              <w:widowControl/>
              <w:autoSpaceDE w:val="0"/>
              <w:autoSpaceDN w:val="0"/>
              <w:spacing w:line="280" w:lineRule="exact"/>
              <w:jc w:val="center"/>
              <w:rPr>
                <w:rFonts w:ascii="Times New Roman" w:hAnsi="Times New Roman" w:eastAsia="仿宋_GB2312"/>
                <w:color w:val="auto"/>
                <w:szCs w:val="21"/>
              </w:rPr>
            </w:pPr>
            <w:r>
              <w:rPr>
                <w:rFonts w:hint="eastAsia" w:ascii="Times New Roman" w:hAnsi="Times New Roman" w:eastAsia="仿宋_GB2312"/>
                <w:color w:val="auto"/>
                <w:szCs w:val="21"/>
              </w:rPr>
              <w:t>苏州市相城区住房和城乡建设局</w:t>
            </w:r>
          </w:p>
        </w:tc>
        <w:tc>
          <w:tcPr>
            <w:tcW w:w="872" w:type="dxa"/>
            <w:vMerge w:val="restart"/>
            <w:tcBorders>
              <w:top w:val="single" w:color="auto" w:sz="4" w:space="0"/>
              <w:left w:val="single" w:color="auto" w:sz="4" w:space="0"/>
              <w:right w:val="single" w:color="auto" w:sz="4" w:space="0"/>
            </w:tcBorders>
            <w:shd w:val="clear" w:color="auto" w:fill="auto"/>
            <w:vAlign w:val="center"/>
          </w:tcPr>
          <w:p w14:paraId="75062110">
            <w:pPr>
              <w:widowControl/>
              <w:autoSpaceDE w:val="0"/>
              <w:autoSpaceDN w:val="0"/>
              <w:spacing w:line="280" w:lineRule="exact"/>
              <w:rPr>
                <w:rFonts w:ascii="Times New Roman" w:hAnsi="Times New Roman" w:eastAsia="仿宋_GB2312"/>
                <w:color w:val="auto"/>
                <w:szCs w:val="21"/>
              </w:rPr>
            </w:pPr>
            <w:r>
              <w:rPr>
                <w:rFonts w:hint="eastAsia" w:ascii="Times New Roman" w:hAnsi="Times New Roman" w:eastAsia="仿宋_GB2312"/>
                <w:color w:val="auto"/>
                <w:szCs w:val="21"/>
              </w:rPr>
              <w:t>相城区建筑管理服务中心</w:t>
            </w:r>
          </w:p>
        </w:tc>
        <w:tc>
          <w:tcPr>
            <w:tcW w:w="869" w:type="dxa"/>
            <w:vMerge w:val="restart"/>
            <w:tcBorders>
              <w:top w:val="single" w:color="auto" w:sz="4" w:space="0"/>
              <w:left w:val="single" w:color="auto" w:sz="4" w:space="0"/>
              <w:right w:val="single" w:color="auto" w:sz="4" w:space="0"/>
            </w:tcBorders>
            <w:shd w:val="clear" w:color="auto" w:fill="auto"/>
            <w:vAlign w:val="center"/>
          </w:tcPr>
          <w:p w14:paraId="078CF8A7">
            <w:pPr>
              <w:widowControl/>
              <w:autoSpaceDE w:val="0"/>
              <w:autoSpaceDN w:val="0"/>
              <w:spacing w:line="280" w:lineRule="exact"/>
              <w:jc w:val="left"/>
              <w:rPr>
                <w:rFonts w:ascii="Times New Roman" w:hAnsi="Times New Roman" w:eastAsia="仿宋_GB2312"/>
                <w:color w:val="auto"/>
                <w:szCs w:val="21"/>
              </w:rPr>
            </w:pPr>
            <w:r>
              <w:rPr>
                <w:rFonts w:hint="eastAsia" w:ascii="Times New Roman" w:hAnsi="Times New Roman" w:eastAsia="仿宋_GB2312"/>
                <w:color w:val="auto"/>
                <w:szCs w:val="21"/>
              </w:rPr>
              <w:t>建筑业企业</w:t>
            </w:r>
          </w:p>
        </w:tc>
        <w:tc>
          <w:tcPr>
            <w:tcW w:w="4962" w:type="dxa"/>
            <w:vMerge w:val="restart"/>
            <w:tcBorders>
              <w:top w:val="single" w:color="auto" w:sz="4" w:space="0"/>
              <w:left w:val="single" w:color="auto" w:sz="4" w:space="0"/>
              <w:right w:val="single" w:color="auto" w:sz="4" w:space="0"/>
            </w:tcBorders>
            <w:shd w:val="clear" w:color="auto" w:fill="auto"/>
            <w:vAlign w:val="center"/>
          </w:tcPr>
          <w:p w14:paraId="41634689">
            <w:pPr>
              <w:widowControl/>
              <w:autoSpaceDE w:val="0"/>
              <w:autoSpaceDN w:val="0"/>
              <w:spacing w:line="280" w:lineRule="exact"/>
              <w:jc w:val="left"/>
              <w:rPr>
                <w:rFonts w:ascii="Times New Roman" w:hAnsi="Times New Roman" w:eastAsia="仿宋_GB2312"/>
                <w:color w:val="auto"/>
                <w:szCs w:val="21"/>
              </w:rPr>
            </w:pPr>
            <w:r>
              <w:rPr>
                <w:rFonts w:hint="eastAsia" w:ascii="Times New Roman" w:hAnsi="Times New Roman" w:eastAsia="仿宋_GB2312"/>
                <w:color w:val="auto"/>
                <w:szCs w:val="21"/>
              </w:rPr>
              <w:t>【法律】《中华人民共和国行政许可法》</w:t>
            </w:r>
          </w:p>
          <w:p w14:paraId="372A5CB4">
            <w:pPr>
              <w:widowControl/>
              <w:autoSpaceDE w:val="0"/>
              <w:autoSpaceDN w:val="0"/>
              <w:spacing w:line="280" w:lineRule="exact"/>
              <w:jc w:val="left"/>
              <w:rPr>
                <w:rFonts w:ascii="Times New Roman" w:hAnsi="Times New Roman" w:eastAsia="仿宋_GB2312"/>
                <w:color w:val="auto"/>
                <w:szCs w:val="21"/>
              </w:rPr>
            </w:pPr>
            <w:r>
              <w:rPr>
                <w:rFonts w:hint="eastAsia" w:ascii="Times New Roman" w:hAnsi="Times New Roman" w:eastAsia="仿宋_GB2312"/>
                <w:color w:val="auto"/>
                <w:szCs w:val="21"/>
              </w:rPr>
              <w:t xml:space="preserve">    第六十一条  行政机关应当建立健全监督制度，通过核查反映被许可人从事行政许可事项活动情况的有关材料，履行监督责任。</w:t>
            </w:r>
          </w:p>
          <w:p w14:paraId="35FC61A1">
            <w:pPr>
              <w:widowControl/>
              <w:autoSpaceDE w:val="0"/>
              <w:autoSpaceDN w:val="0"/>
              <w:spacing w:line="280" w:lineRule="exact"/>
              <w:jc w:val="left"/>
              <w:rPr>
                <w:rFonts w:ascii="Times New Roman" w:hAnsi="Times New Roman" w:eastAsia="仿宋_GB2312"/>
                <w:color w:val="auto"/>
                <w:szCs w:val="21"/>
              </w:rPr>
            </w:pPr>
            <w:r>
              <w:rPr>
                <w:rFonts w:hint="eastAsia" w:ascii="Times New Roman" w:hAnsi="Times New Roman" w:eastAsia="仿宋_GB2312"/>
                <w:color w:val="auto"/>
                <w:szCs w:val="21"/>
              </w:rPr>
              <w:t>行政机关依法对被许可人从事行政许可事项的活动进行监督检查时，应当将监督检查的情况和处理结果予以记录，由监督检查人员签字后归档。公众有权查阅行政机关监督检查记录。</w:t>
            </w:r>
          </w:p>
          <w:p w14:paraId="55CFB909">
            <w:pPr>
              <w:widowControl/>
              <w:autoSpaceDE w:val="0"/>
              <w:autoSpaceDN w:val="0"/>
              <w:spacing w:line="280" w:lineRule="exact"/>
              <w:jc w:val="left"/>
              <w:rPr>
                <w:rFonts w:ascii="Times New Roman" w:hAnsi="Times New Roman" w:eastAsia="仿宋_GB2312"/>
                <w:color w:val="auto"/>
                <w:szCs w:val="21"/>
              </w:rPr>
            </w:pPr>
            <w:r>
              <w:rPr>
                <w:rFonts w:hint="eastAsia" w:ascii="Times New Roman" w:hAnsi="Times New Roman" w:eastAsia="仿宋_GB2312"/>
                <w:color w:val="auto"/>
                <w:szCs w:val="21"/>
              </w:rPr>
              <w:t>行政机关应当创造条件，实现与被许可人、其他有关行政机关的计算机档案系统互联，核查被许可人从事行政许可事项活动情况。</w:t>
            </w:r>
          </w:p>
          <w:p w14:paraId="246B6385">
            <w:pPr>
              <w:widowControl/>
              <w:autoSpaceDE w:val="0"/>
              <w:autoSpaceDN w:val="0"/>
              <w:spacing w:line="280" w:lineRule="exact"/>
              <w:ind w:firstLine="420"/>
              <w:jc w:val="left"/>
              <w:rPr>
                <w:rFonts w:ascii="Times New Roman" w:hAnsi="Times New Roman" w:eastAsia="仿宋_GB2312"/>
                <w:color w:val="auto"/>
                <w:szCs w:val="21"/>
              </w:rPr>
            </w:pPr>
            <w:r>
              <w:rPr>
                <w:rFonts w:hint="eastAsia" w:ascii="Times New Roman" w:hAnsi="Times New Roman" w:eastAsia="仿宋_GB2312"/>
                <w:color w:val="auto"/>
                <w:szCs w:val="21"/>
              </w:rPr>
              <w:t>第六十二条  行政机关可以对被许可人生产经营的产品依法进行抽样检查、检验、检测，对其生产经营场所依法进行实地检查。检查时，行政机关可以依法查阅或者要求被许可人报送有关材料；被许可人应当如实提供有关情况和材料。</w:t>
            </w:r>
          </w:p>
          <w:p w14:paraId="5BE5321F">
            <w:pPr>
              <w:autoSpaceDE w:val="0"/>
              <w:autoSpaceDN w:val="0"/>
              <w:spacing w:line="280" w:lineRule="exact"/>
              <w:jc w:val="left"/>
              <w:rPr>
                <w:rFonts w:ascii="Times New Roman" w:hAnsi="Times New Roman" w:eastAsia="仿宋_GB2312"/>
                <w:color w:val="auto"/>
                <w:szCs w:val="21"/>
              </w:rPr>
            </w:pPr>
            <w:r>
              <w:rPr>
                <w:rFonts w:hint="eastAsia" w:ascii="Times New Roman" w:hAnsi="Times New Roman" w:eastAsia="仿宋_GB2312"/>
                <w:color w:val="auto"/>
                <w:szCs w:val="21"/>
              </w:rPr>
              <w:t>行政机关根据法律、行政法规的规定，对直接关系公共安全、人身健康、生命财产安全的重要设备、设施进行定期检验。对检验合格的，行政机关应当发给相应的证明文件。</w:t>
            </w:r>
          </w:p>
        </w:tc>
        <w:tc>
          <w:tcPr>
            <w:tcW w:w="992" w:type="dxa"/>
            <w:vMerge w:val="restart"/>
            <w:tcBorders>
              <w:top w:val="single" w:color="auto" w:sz="4" w:space="0"/>
              <w:left w:val="single" w:color="auto" w:sz="4" w:space="0"/>
              <w:right w:val="single" w:color="auto" w:sz="4" w:space="0"/>
            </w:tcBorders>
            <w:shd w:val="clear" w:color="auto" w:fill="auto"/>
            <w:vAlign w:val="center"/>
          </w:tcPr>
          <w:p w14:paraId="26BC5A83">
            <w:pPr>
              <w:widowControl/>
              <w:autoSpaceDE w:val="0"/>
              <w:autoSpaceDN w:val="0"/>
              <w:spacing w:line="280" w:lineRule="exact"/>
              <w:jc w:val="left"/>
              <w:rPr>
                <w:rFonts w:ascii="Times New Roman" w:hAnsi="Times New Roman" w:eastAsia="仿宋_GB2312"/>
                <w:color w:val="auto"/>
                <w:szCs w:val="21"/>
              </w:rPr>
            </w:pPr>
            <w:r>
              <w:rPr>
                <w:rFonts w:hint="eastAsia" w:ascii="Times New Roman" w:hAnsi="Times New Roman" w:eastAsia="仿宋_GB2312"/>
                <w:color w:val="auto"/>
                <w:szCs w:val="21"/>
              </w:rPr>
              <w:t>现场检查、书面检查</w:t>
            </w:r>
          </w:p>
        </w:tc>
        <w:tc>
          <w:tcPr>
            <w:tcW w:w="1139" w:type="dxa"/>
            <w:vMerge w:val="restart"/>
            <w:tcBorders>
              <w:top w:val="single" w:color="auto" w:sz="4" w:space="0"/>
              <w:left w:val="single" w:color="auto" w:sz="4" w:space="0"/>
              <w:right w:val="single" w:color="auto" w:sz="4" w:space="0"/>
            </w:tcBorders>
            <w:shd w:val="clear" w:color="auto" w:fill="auto"/>
            <w:vAlign w:val="center"/>
          </w:tcPr>
          <w:p w14:paraId="1D6369AC">
            <w:pPr>
              <w:widowControl/>
              <w:autoSpaceDE w:val="0"/>
              <w:autoSpaceDN w:val="0"/>
              <w:spacing w:line="280" w:lineRule="exact"/>
              <w:jc w:val="center"/>
              <w:rPr>
                <w:rFonts w:ascii="Times New Roman" w:hAnsi="Times New Roman" w:eastAsia="仿宋_GB2312"/>
                <w:color w:val="auto"/>
                <w:szCs w:val="21"/>
              </w:rPr>
            </w:pPr>
            <w:r>
              <w:rPr>
                <w:rFonts w:hint="eastAsia" w:ascii="Times New Roman" w:hAnsi="Times New Roman" w:eastAsia="仿宋_GB2312"/>
                <w:color w:val="auto"/>
                <w:szCs w:val="21"/>
              </w:rPr>
              <w:t>每3个月1次检查重点企业。</w:t>
            </w:r>
          </w:p>
          <w:p w14:paraId="521868DE">
            <w:pPr>
              <w:widowControl/>
              <w:autoSpaceDE w:val="0"/>
              <w:autoSpaceDN w:val="0"/>
              <w:spacing w:line="280" w:lineRule="exact"/>
              <w:jc w:val="center"/>
              <w:rPr>
                <w:rFonts w:ascii="Times New Roman" w:hAnsi="Times New Roman" w:eastAsia="仿宋_GB2312"/>
                <w:color w:val="auto"/>
                <w:szCs w:val="21"/>
              </w:rPr>
            </w:pPr>
            <w:r>
              <w:rPr>
                <w:rFonts w:hint="eastAsia" w:ascii="Times New Roman" w:hAnsi="Times New Roman" w:eastAsia="仿宋_GB2312"/>
                <w:color w:val="auto"/>
                <w:szCs w:val="21"/>
              </w:rPr>
              <w:t>对于非市政类企业：每年1次企业报送资质自检材料</w:t>
            </w:r>
          </w:p>
        </w:tc>
        <w:tc>
          <w:tcPr>
            <w:tcW w:w="1491" w:type="dxa"/>
            <w:tcBorders>
              <w:top w:val="single" w:color="auto" w:sz="4" w:space="0"/>
              <w:left w:val="single" w:color="auto" w:sz="4" w:space="0"/>
              <w:bottom w:val="single" w:color="auto" w:sz="4" w:space="0"/>
              <w:right w:val="single" w:color="auto" w:sz="4" w:space="0"/>
            </w:tcBorders>
            <w:shd w:val="clear" w:color="auto" w:fill="auto"/>
            <w:vAlign w:val="center"/>
          </w:tcPr>
          <w:p w14:paraId="3CC5C7AE">
            <w:pPr>
              <w:widowControl/>
              <w:autoSpaceDE w:val="0"/>
              <w:autoSpaceDN w:val="0"/>
              <w:spacing w:line="280" w:lineRule="exact"/>
              <w:jc w:val="center"/>
              <w:rPr>
                <w:rFonts w:ascii="Times New Roman" w:hAnsi="Times New Roman" w:eastAsia="仿宋_GB2312"/>
                <w:color w:val="auto"/>
                <w:szCs w:val="21"/>
              </w:rPr>
            </w:pPr>
            <w:r>
              <w:rPr>
                <w:rFonts w:hint="eastAsia" w:ascii="Times New Roman" w:hAnsi="Times New Roman" w:eastAsia="仿宋_GB2312"/>
                <w:color w:val="auto"/>
                <w:szCs w:val="21"/>
              </w:rPr>
              <w:t>320217623000</w:t>
            </w:r>
          </w:p>
        </w:tc>
        <w:tc>
          <w:tcPr>
            <w:tcW w:w="1481" w:type="dxa"/>
            <w:tcBorders>
              <w:top w:val="single" w:color="auto" w:sz="4" w:space="0"/>
              <w:left w:val="single" w:color="auto" w:sz="4" w:space="0"/>
              <w:bottom w:val="single" w:color="auto" w:sz="4" w:space="0"/>
              <w:right w:val="single" w:color="auto" w:sz="4" w:space="0"/>
            </w:tcBorders>
            <w:shd w:val="clear" w:color="auto" w:fill="auto"/>
            <w:vAlign w:val="center"/>
          </w:tcPr>
          <w:p w14:paraId="5AF3ABFD">
            <w:pPr>
              <w:widowControl/>
              <w:autoSpaceDE w:val="0"/>
              <w:autoSpaceDN w:val="0"/>
              <w:spacing w:line="280" w:lineRule="exact"/>
              <w:rPr>
                <w:rFonts w:ascii="Times New Roman" w:hAnsi="Times New Roman" w:eastAsia="仿宋_GB2312"/>
                <w:color w:val="auto"/>
                <w:szCs w:val="21"/>
              </w:rPr>
            </w:pPr>
            <w:r>
              <w:rPr>
                <w:rFonts w:hint="eastAsia" w:ascii="Times New Roman" w:hAnsi="Times New Roman" w:eastAsia="仿宋_GB2312"/>
                <w:color w:val="auto"/>
                <w:szCs w:val="21"/>
              </w:rPr>
              <w:t>对勘察、设计、施工、工程监理单位以欺骗、贿赂等不正当手段取得资质证书的处罚</w:t>
            </w:r>
          </w:p>
        </w:tc>
        <w:tc>
          <w:tcPr>
            <w:tcW w:w="622" w:type="dxa"/>
            <w:vMerge w:val="restart"/>
            <w:tcBorders>
              <w:top w:val="single" w:color="auto" w:sz="4" w:space="0"/>
              <w:left w:val="single" w:color="auto" w:sz="4" w:space="0"/>
              <w:right w:val="single" w:color="auto" w:sz="4" w:space="0"/>
            </w:tcBorders>
            <w:shd w:val="clear" w:color="auto" w:fill="auto"/>
            <w:vAlign w:val="center"/>
          </w:tcPr>
          <w:p w14:paraId="2DDB1B89">
            <w:pPr>
              <w:spacing w:line="280" w:lineRule="exact"/>
              <w:rPr>
                <w:rFonts w:ascii="Times New Roman" w:hAnsi="Times New Roman" w:eastAsia="仿宋_GB2312"/>
                <w:color w:val="auto"/>
                <w:kern w:val="0"/>
                <w:sz w:val="18"/>
                <w:szCs w:val="21"/>
              </w:rPr>
            </w:pPr>
            <w:r>
              <w:rPr>
                <w:rFonts w:hint="eastAsia" w:ascii="Times New Roman" w:hAnsi="Times New Roman" w:eastAsia="仿宋_GB2312"/>
                <w:color w:val="auto"/>
                <w:kern w:val="0"/>
                <w:sz w:val="18"/>
                <w:szCs w:val="21"/>
              </w:rPr>
              <w:t>1.省住建厅专项检查（核查）除外；</w:t>
            </w:r>
          </w:p>
          <w:p w14:paraId="0EE1939E">
            <w:pPr>
              <w:spacing w:line="280" w:lineRule="exact"/>
              <w:rPr>
                <w:rFonts w:ascii="Times New Roman" w:hAnsi="Times New Roman" w:eastAsia="仿宋_GB2312"/>
                <w:color w:val="auto"/>
                <w:kern w:val="0"/>
                <w:szCs w:val="21"/>
              </w:rPr>
            </w:pPr>
            <w:r>
              <w:rPr>
                <w:rFonts w:hint="eastAsia" w:ascii="Times New Roman" w:hAnsi="Times New Roman" w:eastAsia="仿宋_GB2312"/>
                <w:color w:val="auto"/>
                <w:kern w:val="0"/>
                <w:sz w:val="18"/>
                <w:szCs w:val="21"/>
              </w:rPr>
              <w:t>2.市级许可资质许可事项由大数据局实施；</w:t>
            </w:r>
            <w:r>
              <w:rPr>
                <w:rFonts w:hint="eastAsia" w:ascii="Times New Roman" w:hAnsi="Times New Roman" w:eastAsia="仿宋_GB2312"/>
                <w:color w:val="auto"/>
                <w:kern w:val="0"/>
                <w:szCs w:val="21"/>
              </w:rPr>
              <w:t xml:space="preserve"> </w:t>
            </w:r>
          </w:p>
        </w:tc>
      </w:tr>
      <w:tr w14:paraId="5F69B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5" w:hRule="atLeast"/>
          <w:jc w:val="center"/>
        </w:trPr>
        <w:tc>
          <w:tcPr>
            <w:tcW w:w="536" w:type="dxa"/>
            <w:vMerge w:val="continue"/>
            <w:tcBorders>
              <w:left w:val="single" w:color="auto" w:sz="4" w:space="0"/>
              <w:right w:val="single" w:color="auto" w:sz="4" w:space="0"/>
            </w:tcBorders>
            <w:shd w:val="clear" w:color="auto" w:fill="auto"/>
            <w:vAlign w:val="center"/>
          </w:tcPr>
          <w:p w14:paraId="0DC63F55">
            <w:pPr>
              <w:widowControl/>
              <w:autoSpaceDE w:val="0"/>
              <w:autoSpaceDN w:val="0"/>
              <w:spacing w:line="280" w:lineRule="exact"/>
              <w:jc w:val="center"/>
              <w:rPr>
                <w:rFonts w:ascii="Times New Roman" w:hAnsi="Times New Roman" w:eastAsia="仿宋_GB2312"/>
                <w:color w:val="auto"/>
                <w:szCs w:val="21"/>
              </w:rPr>
            </w:pPr>
          </w:p>
        </w:tc>
        <w:tc>
          <w:tcPr>
            <w:tcW w:w="1324" w:type="dxa"/>
            <w:vMerge w:val="continue"/>
            <w:tcBorders>
              <w:left w:val="single" w:color="auto" w:sz="4" w:space="0"/>
              <w:right w:val="single" w:color="auto" w:sz="4" w:space="0"/>
            </w:tcBorders>
            <w:shd w:val="clear" w:color="auto" w:fill="auto"/>
            <w:vAlign w:val="center"/>
          </w:tcPr>
          <w:p w14:paraId="24176C3B">
            <w:pPr>
              <w:widowControl/>
              <w:autoSpaceDE w:val="0"/>
              <w:autoSpaceDN w:val="0"/>
              <w:spacing w:line="280" w:lineRule="exact"/>
              <w:jc w:val="left"/>
              <w:rPr>
                <w:rFonts w:ascii="Times New Roman" w:hAnsi="Times New Roman" w:eastAsia="仿宋_GB2312"/>
                <w:color w:val="auto"/>
                <w:szCs w:val="21"/>
              </w:rPr>
            </w:pPr>
          </w:p>
        </w:tc>
        <w:tc>
          <w:tcPr>
            <w:tcW w:w="794" w:type="dxa"/>
            <w:vMerge w:val="continue"/>
            <w:tcBorders>
              <w:left w:val="single" w:color="auto" w:sz="4" w:space="0"/>
              <w:right w:val="single" w:color="auto" w:sz="4" w:space="0"/>
            </w:tcBorders>
            <w:shd w:val="clear" w:color="auto" w:fill="auto"/>
            <w:vAlign w:val="center"/>
          </w:tcPr>
          <w:p w14:paraId="0AAC02DB">
            <w:pPr>
              <w:widowControl/>
              <w:autoSpaceDE w:val="0"/>
              <w:autoSpaceDN w:val="0"/>
              <w:spacing w:line="280" w:lineRule="exact"/>
              <w:jc w:val="left"/>
              <w:rPr>
                <w:rFonts w:ascii="Times New Roman" w:hAnsi="Times New Roman" w:eastAsia="仿宋_GB2312"/>
                <w:color w:val="auto"/>
                <w:szCs w:val="21"/>
              </w:rPr>
            </w:pPr>
          </w:p>
        </w:tc>
        <w:tc>
          <w:tcPr>
            <w:tcW w:w="872" w:type="dxa"/>
            <w:vMerge w:val="continue"/>
            <w:tcBorders>
              <w:left w:val="single" w:color="auto" w:sz="4" w:space="0"/>
              <w:right w:val="single" w:color="auto" w:sz="4" w:space="0"/>
            </w:tcBorders>
            <w:shd w:val="clear" w:color="auto" w:fill="auto"/>
            <w:vAlign w:val="center"/>
          </w:tcPr>
          <w:p w14:paraId="6AA59011">
            <w:pPr>
              <w:widowControl/>
              <w:autoSpaceDE w:val="0"/>
              <w:autoSpaceDN w:val="0"/>
              <w:spacing w:line="280" w:lineRule="exact"/>
              <w:jc w:val="left"/>
              <w:rPr>
                <w:rFonts w:ascii="Times New Roman" w:hAnsi="Times New Roman" w:eastAsia="仿宋_GB2312"/>
                <w:color w:val="auto"/>
                <w:szCs w:val="21"/>
              </w:rPr>
            </w:pPr>
          </w:p>
        </w:tc>
        <w:tc>
          <w:tcPr>
            <w:tcW w:w="869" w:type="dxa"/>
            <w:vMerge w:val="continue"/>
            <w:tcBorders>
              <w:left w:val="single" w:color="auto" w:sz="4" w:space="0"/>
              <w:right w:val="single" w:color="auto" w:sz="4" w:space="0"/>
            </w:tcBorders>
            <w:shd w:val="clear" w:color="auto" w:fill="auto"/>
            <w:vAlign w:val="center"/>
          </w:tcPr>
          <w:p w14:paraId="2DE8705B">
            <w:pPr>
              <w:widowControl/>
              <w:autoSpaceDE w:val="0"/>
              <w:autoSpaceDN w:val="0"/>
              <w:spacing w:line="280" w:lineRule="exact"/>
              <w:jc w:val="left"/>
              <w:rPr>
                <w:rFonts w:ascii="Times New Roman" w:hAnsi="Times New Roman" w:eastAsia="仿宋_GB2312"/>
                <w:color w:val="auto"/>
                <w:szCs w:val="21"/>
              </w:rPr>
            </w:pPr>
          </w:p>
        </w:tc>
        <w:tc>
          <w:tcPr>
            <w:tcW w:w="4962" w:type="dxa"/>
            <w:vMerge w:val="continue"/>
            <w:tcBorders>
              <w:left w:val="single" w:color="auto" w:sz="4" w:space="0"/>
              <w:right w:val="single" w:color="auto" w:sz="4" w:space="0"/>
            </w:tcBorders>
            <w:shd w:val="clear" w:color="auto" w:fill="auto"/>
            <w:vAlign w:val="center"/>
          </w:tcPr>
          <w:p w14:paraId="3FF3D735">
            <w:pPr>
              <w:widowControl/>
              <w:autoSpaceDE w:val="0"/>
              <w:autoSpaceDN w:val="0"/>
              <w:spacing w:line="280" w:lineRule="exact"/>
              <w:jc w:val="left"/>
              <w:rPr>
                <w:rFonts w:ascii="Times New Roman" w:hAnsi="Times New Roman" w:eastAsia="仿宋_GB2312"/>
                <w:color w:val="auto"/>
                <w:szCs w:val="21"/>
              </w:rPr>
            </w:pPr>
          </w:p>
        </w:tc>
        <w:tc>
          <w:tcPr>
            <w:tcW w:w="992" w:type="dxa"/>
            <w:vMerge w:val="continue"/>
            <w:tcBorders>
              <w:left w:val="single" w:color="auto" w:sz="4" w:space="0"/>
              <w:right w:val="single" w:color="auto" w:sz="4" w:space="0"/>
            </w:tcBorders>
            <w:shd w:val="clear" w:color="auto" w:fill="auto"/>
            <w:vAlign w:val="center"/>
          </w:tcPr>
          <w:p w14:paraId="72E4B3EA">
            <w:pPr>
              <w:widowControl/>
              <w:autoSpaceDE w:val="0"/>
              <w:autoSpaceDN w:val="0"/>
              <w:spacing w:line="280" w:lineRule="exact"/>
              <w:jc w:val="left"/>
              <w:rPr>
                <w:rFonts w:ascii="Times New Roman" w:hAnsi="Times New Roman" w:eastAsia="仿宋_GB2312"/>
                <w:color w:val="auto"/>
                <w:szCs w:val="21"/>
              </w:rPr>
            </w:pPr>
          </w:p>
        </w:tc>
        <w:tc>
          <w:tcPr>
            <w:tcW w:w="1139" w:type="dxa"/>
            <w:vMerge w:val="continue"/>
            <w:tcBorders>
              <w:left w:val="single" w:color="auto" w:sz="4" w:space="0"/>
              <w:right w:val="single" w:color="auto" w:sz="4" w:space="0"/>
            </w:tcBorders>
            <w:shd w:val="clear" w:color="auto" w:fill="auto"/>
            <w:vAlign w:val="center"/>
          </w:tcPr>
          <w:p w14:paraId="472D4452">
            <w:pPr>
              <w:widowControl/>
              <w:autoSpaceDE w:val="0"/>
              <w:autoSpaceDN w:val="0"/>
              <w:spacing w:line="280" w:lineRule="exact"/>
              <w:jc w:val="center"/>
              <w:rPr>
                <w:rFonts w:ascii="Times New Roman" w:hAnsi="Times New Roman" w:eastAsia="仿宋_GB2312"/>
                <w:color w:val="auto"/>
                <w:szCs w:val="21"/>
              </w:rPr>
            </w:pPr>
          </w:p>
        </w:tc>
        <w:tc>
          <w:tcPr>
            <w:tcW w:w="1491" w:type="dxa"/>
            <w:tcBorders>
              <w:top w:val="single" w:color="auto" w:sz="4" w:space="0"/>
              <w:left w:val="single" w:color="auto" w:sz="4" w:space="0"/>
              <w:bottom w:val="single" w:color="auto" w:sz="4" w:space="0"/>
              <w:right w:val="single" w:color="auto" w:sz="4" w:space="0"/>
            </w:tcBorders>
            <w:shd w:val="clear" w:color="auto" w:fill="auto"/>
            <w:vAlign w:val="center"/>
          </w:tcPr>
          <w:p w14:paraId="3ADAE090">
            <w:pPr>
              <w:widowControl/>
              <w:autoSpaceDE w:val="0"/>
              <w:autoSpaceDN w:val="0"/>
              <w:spacing w:line="280" w:lineRule="exact"/>
              <w:jc w:val="center"/>
              <w:rPr>
                <w:rFonts w:ascii="Times New Roman" w:hAnsi="Times New Roman" w:eastAsia="仿宋_GB2312"/>
                <w:color w:val="auto"/>
                <w:szCs w:val="21"/>
              </w:rPr>
            </w:pPr>
            <w:r>
              <w:rPr>
                <w:rFonts w:hint="eastAsia" w:ascii="Times New Roman" w:hAnsi="Times New Roman" w:eastAsia="仿宋_GB2312"/>
                <w:color w:val="auto"/>
                <w:szCs w:val="21"/>
              </w:rPr>
              <w:t>320217266000</w:t>
            </w:r>
          </w:p>
        </w:tc>
        <w:tc>
          <w:tcPr>
            <w:tcW w:w="1481" w:type="dxa"/>
            <w:tcBorders>
              <w:top w:val="single" w:color="auto" w:sz="4" w:space="0"/>
              <w:left w:val="single" w:color="auto" w:sz="4" w:space="0"/>
              <w:bottom w:val="single" w:color="auto" w:sz="4" w:space="0"/>
              <w:right w:val="single" w:color="auto" w:sz="4" w:space="0"/>
            </w:tcBorders>
            <w:shd w:val="clear" w:color="auto" w:fill="auto"/>
            <w:vAlign w:val="center"/>
          </w:tcPr>
          <w:p w14:paraId="1858C168">
            <w:pPr>
              <w:widowControl/>
              <w:autoSpaceDE w:val="0"/>
              <w:autoSpaceDN w:val="0"/>
              <w:spacing w:line="280" w:lineRule="exact"/>
              <w:rPr>
                <w:rFonts w:ascii="Times New Roman" w:hAnsi="Times New Roman" w:eastAsia="仿宋_GB2312"/>
                <w:color w:val="auto"/>
                <w:szCs w:val="21"/>
              </w:rPr>
            </w:pPr>
            <w:r>
              <w:rPr>
                <w:rFonts w:hint="eastAsia" w:ascii="Times New Roman" w:hAnsi="Times New Roman" w:eastAsia="仿宋_GB2312"/>
                <w:color w:val="auto"/>
                <w:szCs w:val="21"/>
              </w:rPr>
              <w:t>对建筑施工企业伪造、变造、倒卖、出租、出借或者以其他形式非法转让建筑业企业资质证书的处罚</w:t>
            </w:r>
          </w:p>
        </w:tc>
        <w:tc>
          <w:tcPr>
            <w:tcW w:w="622" w:type="dxa"/>
            <w:vMerge w:val="continue"/>
            <w:tcBorders>
              <w:left w:val="single" w:color="auto" w:sz="4" w:space="0"/>
              <w:right w:val="single" w:color="auto" w:sz="4" w:space="0"/>
            </w:tcBorders>
            <w:shd w:val="clear" w:color="auto" w:fill="auto"/>
            <w:vAlign w:val="center"/>
          </w:tcPr>
          <w:p w14:paraId="6C49BF80">
            <w:pPr>
              <w:spacing w:line="280" w:lineRule="exact"/>
              <w:rPr>
                <w:rFonts w:ascii="Times New Roman" w:hAnsi="Times New Roman" w:eastAsia="仿宋_GB2312"/>
                <w:color w:val="auto"/>
                <w:kern w:val="0"/>
                <w:sz w:val="20"/>
                <w:szCs w:val="21"/>
              </w:rPr>
            </w:pPr>
          </w:p>
        </w:tc>
      </w:tr>
      <w:tr w14:paraId="00A70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23" w:hRule="atLeast"/>
          <w:jc w:val="center"/>
        </w:trPr>
        <w:tc>
          <w:tcPr>
            <w:tcW w:w="536" w:type="dxa"/>
            <w:vMerge w:val="continue"/>
            <w:tcBorders>
              <w:left w:val="single" w:color="auto" w:sz="4" w:space="0"/>
              <w:bottom w:val="single" w:color="auto" w:sz="4" w:space="0"/>
              <w:right w:val="single" w:color="auto" w:sz="4" w:space="0"/>
            </w:tcBorders>
            <w:shd w:val="clear" w:color="auto" w:fill="auto"/>
            <w:vAlign w:val="center"/>
          </w:tcPr>
          <w:p w14:paraId="3EE33C60">
            <w:pPr>
              <w:widowControl/>
              <w:autoSpaceDE w:val="0"/>
              <w:autoSpaceDN w:val="0"/>
              <w:spacing w:line="280" w:lineRule="exact"/>
              <w:jc w:val="left"/>
              <w:rPr>
                <w:rFonts w:ascii="Times New Roman" w:hAnsi="Times New Roman" w:eastAsia="仿宋_GB2312"/>
                <w:color w:val="auto"/>
                <w:szCs w:val="21"/>
              </w:rPr>
            </w:pPr>
          </w:p>
        </w:tc>
        <w:tc>
          <w:tcPr>
            <w:tcW w:w="1324" w:type="dxa"/>
            <w:vMerge w:val="continue"/>
            <w:tcBorders>
              <w:left w:val="single" w:color="auto" w:sz="4" w:space="0"/>
              <w:bottom w:val="single" w:color="auto" w:sz="4" w:space="0"/>
              <w:right w:val="single" w:color="auto" w:sz="4" w:space="0"/>
            </w:tcBorders>
            <w:shd w:val="clear" w:color="auto" w:fill="auto"/>
            <w:vAlign w:val="center"/>
          </w:tcPr>
          <w:p w14:paraId="75282F3D">
            <w:pPr>
              <w:widowControl/>
              <w:autoSpaceDE w:val="0"/>
              <w:autoSpaceDN w:val="0"/>
              <w:spacing w:line="280" w:lineRule="exact"/>
              <w:jc w:val="left"/>
              <w:rPr>
                <w:rFonts w:ascii="Times New Roman" w:hAnsi="Times New Roman" w:eastAsia="仿宋_GB2312"/>
                <w:color w:val="auto"/>
                <w:szCs w:val="21"/>
              </w:rPr>
            </w:pPr>
          </w:p>
        </w:tc>
        <w:tc>
          <w:tcPr>
            <w:tcW w:w="794" w:type="dxa"/>
            <w:vMerge w:val="continue"/>
            <w:tcBorders>
              <w:left w:val="single" w:color="auto" w:sz="4" w:space="0"/>
              <w:bottom w:val="single" w:color="auto" w:sz="4" w:space="0"/>
              <w:right w:val="single" w:color="auto" w:sz="4" w:space="0"/>
            </w:tcBorders>
            <w:shd w:val="clear" w:color="auto" w:fill="auto"/>
            <w:vAlign w:val="center"/>
          </w:tcPr>
          <w:p w14:paraId="3C9CAF19">
            <w:pPr>
              <w:widowControl/>
              <w:autoSpaceDE w:val="0"/>
              <w:autoSpaceDN w:val="0"/>
              <w:spacing w:line="280" w:lineRule="exact"/>
              <w:jc w:val="left"/>
              <w:rPr>
                <w:rFonts w:ascii="Times New Roman" w:hAnsi="Times New Roman" w:eastAsia="仿宋_GB2312"/>
                <w:color w:val="auto"/>
                <w:szCs w:val="21"/>
              </w:rPr>
            </w:pPr>
          </w:p>
        </w:tc>
        <w:tc>
          <w:tcPr>
            <w:tcW w:w="872" w:type="dxa"/>
            <w:vMerge w:val="continue"/>
            <w:tcBorders>
              <w:left w:val="single" w:color="auto" w:sz="4" w:space="0"/>
              <w:bottom w:val="single" w:color="auto" w:sz="4" w:space="0"/>
              <w:right w:val="single" w:color="auto" w:sz="4" w:space="0"/>
            </w:tcBorders>
            <w:shd w:val="clear" w:color="auto" w:fill="auto"/>
            <w:vAlign w:val="center"/>
          </w:tcPr>
          <w:p w14:paraId="2C93A44D">
            <w:pPr>
              <w:widowControl/>
              <w:autoSpaceDE w:val="0"/>
              <w:autoSpaceDN w:val="0"/>
              <w:spacing w:line="280" w:lineRule="exact"/>
              <w:jc w:val="left"/>
              <w:rPr>
                <w:rFonts w:ascii="Times New Roman" w:hAnsi="Times New Roman" w:eastAsia="仿宋_GB2312"/>
                <w:color w:val="auto"/>
                <w:szCs w:val="21"/>
              </w:rPr>
            </w:pPr>
          </w:p>
        </w:tc>
        <w:tc>
          <w:tcPr>
            <w:tcW w:w="869" w:type="dxa"/>
            <w:vMerge w:val="continue"/>
            <w:tcBorders>
              <w:left w:val="single" w:color="auto" w:sz="4" w:space="0"/>
              <w:bottom w:val="single" w:color="auto" w:sz="4" w:space="0"/>
              <w:right w:val="single" w:color="auto" w:sz="4" w:space="0"/>
            </w:tcBorders>
            <w:shd w:val="clear" w:color="auto" w:fill="auto"/>
            <w:vAlign w:val="center"/>
          </w:tcPr>
          <w:p w14:paraId="65494243">
            <w:pPr>
              <w:widowControl/>
              <w:autoSpaceDE w:val="0"/>
              <w:autoSpaceDN w:val="0"/>
              <w:spacing w:line="280" w:lineRule="exact"/>
              <w:jc w:val="left"/>
              <w:rPr>
                <w:rFonts w:ascii="Times New Roman" w:hAnsi="Times New Roman" w:eastAsia="仿宋_GB2312"/>
                <w:color w:val="auto"/>
                <w:szCs w:val="21"/>
              </w:rPr>
            </w:pPr>
          </w:p>
        </w:tc>
        <w:tc>
          <w:tcPr>
            <w:tcW w:w="4962" w:type="dxa"/>
            <w:vMerge w:val="continue"/>
            <w:tcBorders>
              <w:left w:val="single" w:color="auto" w:sz="4" w:space="0"/>
              <w:bottom w:val="single" w:color="auto" w:sz="4" w:space="0"/>
              <w:right w:val="single" w:color="auto" w:sz="4" w:space="0"/>
            </w:tcBorders>
            <w:shd w:val="clear" w:color="auto" w:fill="auto"/>
            <w:vAlign w:val="center"/>
          </w:tcPr>
          <w:p w14:paraId="43A0357C">
            <w:pPr>
              <w:widowControl/>
              <w:autoSpaceDE w:val="0"/>
              <w:autoSpaceDN w:val="0"/>
              <w:spacing w:line="280" w:lineRule="exact"/>
              <w:jc w:val="left"/>
              <w:rPr>
                <w:rFonts w:ascii="Times New Roman" w:hAnsi="Times New Roman" w:eastAsia="仿宋_GB2312"/>
                <w:color w:val="auto"/>
                <w:szCs w:val="21"/>
              </w:rPr>
            </w:pPr>
          </w:p>
        </w:tc>
        <w:tc>
          <w:tcPr>
            <w:tcW w:w="992" w:type="dxa"/>
            <w:vMerge w:val="continue"/>
            <w:tcBorders>
              <w:left w:val="single" w:color="auto" w:sz="4" w:space="0"/>
              <w:bottom w:val="single" w:color="auto" w:sz="4" w:space="0"/>
              <w:right w:val="single" w:color="auto" w:sz="4" w:space="0"/>
            </w:tcBorders>
            <w:shd w:val="clear" w:color="auto" w:fill="auto"/>
            <w:vAlign w:val="center"/>
          </w:tcPr>
          <w:p w14:paraId="65061D2F">
            <w:pPr>
              <w:widowControl/>
              <w:autoSpaceDE w:val="0"/>
              <w:autoSpaceDN w:val="0"/>
              <w:spacing w:line="280" w:lineRule="exact"/>
              <w:jc w:val="left"/>
              <w:rPr>
                <w:rFonts w:ascii="Times New Roman" w:hAnsi="Times New Roman" w:eastAsia="仿宋_GB2312"/>
                <w:color w:val="auto"/>
                <w:szCs w:val="21"/>
              </w:rPr>
            </w:pPr>
          </w:p>
        </w:tc>
        <w:tc>
          <w:tcPr>
            <w:tcW w:w="1139" w:type="dxa"/>
            <w:vMerge w:val="continue"/>
            <w:tcBorders>
              <w:left w:val="single" w:color="auto" w:sz="4" w:space="0"/>
              <w:bottom w:val="single" w:color="auto" w:sz="4" w:space="0"/>
              <w:right w:val="single" w:color="auto" w:sz="4" w:space="0"/>
            </w:tcBorders>
            <w:shd w:val="clear" w:color="auto" w:fill="auto"/>
            <w:vAlign w:val="center"/>
          </w:tcPr>
          <w:p w14:paraId="553FA772">
            <w:pPr>
              <w:widowControl/>
              <w:autoSpaceDE w:val="0"/>
              <w:autoSpaceDN w:val="0"/>
              <w:spacing w:line="280" w:lineRule="exact"/>
              <w:jc w:val="center"/>
              <w:rPr>
                <w:rFonts w:ascii="Times New Roman" w:hAnsi="Times New Roman" w:eastAsia="仿宋_GB2312"/>
                <w:color w:val="auto"/>
                <w:szCs w:val="21"/>
              </w:rPr>
            </w:pPr>
          </w:p>
        </w:tc>
        <w:tc>
          <w:tcPr>
            <w:tcW w:w="1491" w:type="dxa"/>
            <w:tcBorders>
              <w:top w:val="single" w:color="auto" w:sz="4" w:space="0"/>
              <w:left w:val="single" w:color="auto" w:sz="4" w:space="0"/>
              <w:bottom w:val="single" w:color="auto" w:sz="4" w:space="0"/>
              <w:right w:val="single" w:color="auto" w:sz="4" w:space="0"/>
            </w:tcBorders>
            <w:shd w:val="clear" w:color="auto" w:fill="auto"/>
            <w:vAlign w:val="center"/>
          </w:tcPr>
          <w:p w14:paraId="04B04E66">
            <w:pPr>
              <w:widowControl/>
              <w:autoSpaceDE w:val="0"/>
              <w:autoSpaceDN w:val="0"/>
              <w:spacing w:line="280" w:lineRule="exact"/>
              <w:jc w:val="center"/>
              <w:rPr>
                <w:rFonts w:ascii="Times New Roman" w:hAnsi="Times New Roman" w:eastAsia="仿宋_GB2312"/>
                <w:color w:val="auto"/>
                <w:szCs w:val="21"/>
              </w:rPr>
            </w:pPr>
            <w:r>
              <w:rPr>
                <w:rFonts w:hint="eastAsia" w:ascii="Times New Roman" w:hAnsi="Times New Roman" w:eastAsia="仿宋_GB2312"/>
                <w:color w:val="auto"/>
                <w:szCs w:val="21"/>
              </w:rPr>
              <w:t>320217246000</w:t>
            </w:r>
          </w:p>
        </w:tc>
        <w:tc>
          <w:tcPr>
            <w:tcW w:w="1481" w:type="dxa"/>
            <w:tcBorders>
              <w:top w:val="single" w:color="auto" w:sz="4" w:space="0"/>
              <w:left w:val="single" w:color="auto" w:sz="4" w:space="0"/>
              <w:bottom w:val="single" w:color="auto" w:sz="4" w:space="0"/>
              <w:right w:val="single" w:color="auto" w:sz="4" w:space="0"/>
            </w:tcBorders>
            <w:shd w:val="clear" w:color="auto" w:fill="auto"/>
            <w:vAlign w:val="center"/>
          </w:tcPr>
          <w:p w14:paraId="25A894E7">
            <w:pPr>
              <w:widowControl/>
              <w:autoSpaceDE w:val="0"/>
              <w:autoSpaceDN w:val="0"/>
              <w:spacing w:line="280" w:lineRule="exact"/>
              <w:rPr>
                <w:rFonts w:ascii="Times New Roman" w:hAnsi="Times New Roman" w:eastAsia="仿宋_GB2312"/>
                <w:color w:val="auto"/>
                <w:szCs w:val="21"/>
              </w:rPr>
            </w:pPr>
            <w:r>
              <w:rPr>
                <w:rFonts w:hint="eastAsia" w:ascii="Times New Roman" w:hAnsi="Times New Roman" w:eastAsia="仿宋_GB2312"/>
                <w:color w:val="auto"/>
                <w:szCs w:val="21"/>
              </w:rPr>
              <w:t>对建筑业企业在接受监督检查时，不如实提供有关材料，或者拒绝、阻碍监督检查的处罚</w:t>
            </w:r>
          </w:p>
        </w:tc>
        <w:tc>
          <w:tcPr>
            <w:tcW w:w="622" w:type="dxa"/>
            <w:vMerge w:val="continue"/>
            <w:tcBorders>
              <w:left w:val="single" w:color="auto" w:sz="4" w:space="0"/>
              <w:bottom w:val="single" w:color="auto" w:sz="4" w:space="0"/>
              <w:right w:val="single" w:color="auto" w:sz="4" w:space="0"/>
            </w:tcBorders>
            <w:shd w:val="clear" w:color="auto" w:fill="auto"/>
            <w:vAlign w:val="center"/>
          </w:tcPr>
          <w:p w14:paraId="39843AD5">
            <w:pPr>
              <w:spacing w:line="280" w:lineRule="exact"/>
              <w:rPr>
                <w:rFonts w:ascii="Times New Roman" w:hAnsi="Times New Roman" w:eastAsia="仿宋_GB2312"/>
                <w:color w:val="auto"/>
                <w:kern w:val="0"/>
                <w:szCs w:val="21"/>
              </w:rPr>
            </w:pPr>
          </w:p>
        </w:tc>
      </w:tr>
      <w:tr w14:paraId="46AAAC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6" w:hRule="atLeast"/>
          <w:jc w:val="center"/>
        </w:trPr>
        <w:tc>
          <w:tcPr>
            <w:tcW w:w="536" w:type="dxa"/>
            <w:vMerge w:val="restart"/>
            <w:tcBorders>
              <w:top w:val="single" w:color="auto" w:sz="4" w:space="0"/>
              <w:left w:val="single" w:color="auto" w:sz="4" w:space="0"/>
              <w:right w:val="single" w:color="auto" w:sz="4" w:space="0"/>
            </w:tcBorders>
            <w:shd w:val="clear" w:color="auto" w:fill="auto"/>
            <w:vAlign w:val="center"/>
          </w:tcPr>
          <w:p w14:paraId="28F75E1D">
            <w:pPr>
              <w:widowControl/>
              <w:autoSpaceDE w:val="0"/>
              <w:autoSpaceDN w:val="0"/>
              <w:spacing w:line="280" w:lineRule="exact"/>
              <w:jc w:val="center"/>
              <w:rPr>
                <w:rFonts w:ascii="Times New Roman" w:hAnsi="Times New Roman" w:eastAsia="仿宋_GB2312"/>
                <w:color w:val="auto"/>
                <w:szCs w:val="21"/>
              </w:rPr>
            </w:pPr>
            <w:r>
              <w:rPr>
                <w:rFonts w:hint="eastAsia" w:ascii="Times New Roman" w:hAnsi="Times New Roman" w:eastAsia="仿宋_GB2312"/>
                <w:color w:val="auto"/>
                <w:szCs w:val="21"/>
              </w:rPr>
              <w:t>4</w:t>
            </w:r>
          </w:p>
        </w:tc>
        <w:tc>
          <w:tcPr>
            <w:tcW w:w="1324" w:type="dxa"/>
            <w:vMerge w:val="restart"/>
            <w:tcBorders>
              <w:top w:val="single" w:color="auto" w:sz="4" w:space="0"/>
              <w:left w:val="single" w:color="auto" w:sz="4" w:space="0"/>
              <w:right w:val="single" w:color="auto" w:sz="4" w:space="0"/>
            </w:tcBorders>
            <w:shd w:val="clear" w:color="auto" w:fill="auto"/>
            <w:vAlign w:val="center"/>
          </w:tcPr>
          <w:p w14:paraId="304A29A7">
            <w:pPr>
              <w:widowControl/>
              <w:autoSpaceDE w:val="0"/>
              <w:autoSpaceDN w:val="0"/>
              <w:spacing w:line="280" w:lineRule="exact"/>
              <w:jc w:val="left"/>
              <w:rPr>
                <w:rFonts w:ascii="Times New Roman" w:hAnsi="Times New Roman" w:eastAsia="仿宋_GB2312"/>
                <w:color w:val="auto"/>
                <w:szCs w:val="21"/>
              </w:rPr>
            </w:pPr>
            <w:r>
              <w:rPr>
                <w:rFonts w:hint="eastAsia" w:ascii="Times New Roman" w:hAnsi="Times New Roman" w:eastAsia="仿宋_GB2312"/>
                <w:color w:val="auto"/>
                <w:szCs w:val="21"/>
              </w:rPr>
              <w:t>建筑业企业资质核查</w:t>
            </w:r>
          </w:p>
        </w:tc>
        <w:tc>
          <w:tcPr>
            <w:tcW w:w="794" w:type="dxa"/>
            <w:vMerge w:val="restart"/>
            <w:tcBorders>
              <w:top w:val="single" w:color="auto" w:sz="4" w:space="0"/>
              <w:left w:val="single" w:color="auto" w:sz="4" w:space="0"/>
              <w:right w:val="single" w:color="auto" w:sz="4" w:space="0"/>
            </w:tcBorders>
            <w:shd w:val="clear" w:color="auto" w:fill="auto"/>
            <w:vAlign w:val="center"/>
          </w:tcPr>
          <w:p w14:paraId="143928F1">
            <w:pPr>
              <w:widowControl/>
              <w:autoSpaceDE w:val="0"/>
              <w:autoSpaceDN w:val="0"/>
              <w:spacing w:line="280" w:lineRule="exact"/>
              <w:jc w:val="center"/>
              <w:rPr>
                <w:rFonts w:ascii="Times New Roman" w:hAnsi="Times New Roman" w:eastAsia="仿宋_GB2312"/>
                <w:color w:val="auto"/>
                <w:szCs w:val="21"/>
              </w:rPr>
            </w:pPr>
            <w:r>
              <w:rPr>
                <w:rFonts w:hint="eastAsia" w:ascii="Times New Roman" w:hAnsi="Times New Roman" w:eastAsia="仿宋_GB2312"/>
                <w:color w:val="auto"/>
                <w:szCs w:val="21"/>
              </w:rPr>
              <w:t>苏州市相城区住房和城乡建设局</w:t>
            </w:r>
          </w:p>
        </w:tc>
        <w:tc>
          <w:tcPr>
            <w:tcW w:w="872" w:type="dxa"/>
            <w:vMerge w:val="restart"/>
            <w:tcBorders>
              <w:top w:val="single" w:color="auto" w:sz="4" w:space="0"/>
              <w:left w:val="single" w:color="auto" w:sz="4" w:space="0"/>
              <w:right w:val="single" w:color="auto" w:sz="4" w:space="0"/>
            </w:tcBorders>
            <w:shd w:val="clear" w:color="auto" w:fill="auto"/>
            <w:vAlign w:val="center"/>
          </w:tcPr>
          <w:p w14:paraId="103CC906">
            <w:pPr>
              <w:widowControl/>
              <w:autoSpaceDE w:val="0"/>
              <w:autoSpaceDN w:val="0"/>
              <w:spacing w:line="280" w:lineRule="exact"/>
              <w:jc w:val="left"/>
              <w:rPr>
                <w:rFonts w:ascii="Times New Roman" w:hAnsi="Times New Roman" w:eastAsia="仿宋_GB2312"/>
                <w:color w:val="auto"/>
                <w:szCs w:val="21"/>
              </w:rPr>
            </w:pPr>
            <w:r>
              <w:rPr>
                <w:rFonts w:hint="eastAsia" w:ascii="Times New Roman" w:hAnsi="Times New Roman" w:eastAsia="仿宋_GB2312"/>
                <w:color w:val="auto"/>
                <w:szCs w:val="21"/>
              </w:rPr>
              <w:t>相城区建筑管理服务中心</w:t>
            </w:r>
          </w:p>
        </w:tc>
        <w:tc>
          <w:tcPr>
            <w:tcW w:w="869" w:type="dxa"/>
            <w:vMerge w:val="restart"/>
            <w:tcBorders>
              <w:top w:val="single" w:color="auto" w:sz="4" w:space="0"/>
              <w:left w:val="single" w:color="auto" w:sz="4" w:space="0"/>
              <w:right w:val="single" w:color="auto" w:sz="4" w:space="0"/>
            </w:tcBorders>
            <w:shd w:val="clear" w:color="auto" w:fill="auto"/>
            <w:vAlign w:val="center"/>
          </w:tcPr>
          <w:p w14:paraId="44834A80">
            <w:pPr>
              <w:widowControl/>
              <w:autoSpaceDE w:val="0"/>
              <w:autoSpaceDN w:val="0"/>
              <w:spacing w:line="280" w:lineRule="exact"/>
              <w:jc w:val="left"/>
              <w:rPr>
                <w:rFonts w:ascii="Times New Roman" w:hAnsi="Times New Roman" w:eastAsia="仿宋_GB2312"/>
                <w:color w:val="auto"/>
                <w:szCs w:val="21"/>
              </w:rPr>
            </w:pPr>
            <w:r>
              <w:rPr>
                <w:rFonts w:hint="eastAsia" w:ascii="Times New Roman" w:hAnsi="Times New Roman" w:eastAsia="仿宋_GB2312"/>
                <w:color w:val="auto"/>
                <w:szCs w:val="21"/>
              </w:rPr>
              <w:t>建筑业企业</w:t>
            </w:r>
          </w:p>
        </w:tc>
        <w:tc>
          <w:tcPr>
            <w:tcW w:w="4962" w:type="dxa"/>
            <w:vMerge w:val="restart"/>
            <w:tcBorders>
              <w:top w:val="single" w:color="auto" w:sz="4" w:space="0"/>
              <w:left w:val="single" w:color="auto" w:sz="4" w:space="0"/>
              <w:right w:val="single" w:color="auto" w:sz="4" w:space="0"/>
            </w:tcBorders>
            <w:shd w:val="clear" w:color="auto" w:fill="auto"/>
            <w:vAlign w:val="center"/>
          </w:tcPr>
          <w:p w14:paraId="3BB57B2E">
            <w:pPr>
              <w:widowControl/>
              <w:autoSpaceDE w:val="0"/>
              <w:autoSpaceDN w:val="0"/>
              <w:spacing w:line="280" w:lineRule="exact"/>
              <w:jc w:val="left"/>
              <w:rPr>
                <w:rFonts w:ascii="Times New Roman" w:hAnsi="Times New Roman" w:eastAsia="仿宋_GB2312"/>
                <w:color w:val="auto"/>
                <w:szCs w:val="21"/>
              </w:rPr>
            </w:pPr>
            <w:r>
              <w:rPr>
                <w:rFonts w:hint="eastAsia" w:ascii="Times New Roman" w:hAnsi="Times New Roman" w:eastAsia="仿宋_GB2312"/>
                <w:color w:val="auto"/>
                <w:szCs w:val="21"/>
              </w:rPr>
              <w:t>【部门规章】《建筑业企业资质管理规定》</w:t>
            </w:r>
          </w:p>
          <w:p w14:paraId="545C903C">
            <w:pPr>
              <w:widowControl/>
              <w:autoSpaceDE w:val="0"/>
              <w:autoSpaceDN w:val="0"/>
              <w:spacing w:line="280" w:lineRule="exact"/>
              <w:ind w:firstLine="435"/>
              <w:jc w:val="left"/>
              <w:rPr>
                <w:rFonts w:hint="eastAsia" w:ascii="Times New Roman" w:hAnsi="Times New Roman" w:eastAsia="仿宋_GB2312"/>
                <w:color w:val="auto"/>
                <w:szCs w:val="21"/>
                <w:lang w:eastAsia="zh-CN"/>
              </w:rPr>
            </w:pPr>
            <w:r>
              <w:rPr>
                <w:rFonts w:hint="eastAsia" w:ascii="Times New Roman" w:hAnsi="Times New Roman" w:eastAsia="仿宋_GB2312"/>
                <w:color w:val="auto"/>
                <w:szCs w:val="21"/>
              </w:rPr>
              <w:t>第二十四条 县级以上人民政府住房城乡建设主管部门和其他有关部门应当依照有关法律、法规和本规定，加强对企业取得建筑业企业资质后是否满足资质标准和市场行为的监督管理。</w:t>
            </w:r>
          </w:p>
          <w:p w14:paraId="00C30526">
            <w:pPr>
              <w:widowControl/>
              <w:autoSpaceDE w:val="0"/>
              <w:autoSpaceDN w:val="0"/>
              <w:spacing w:line="280" w:lineRule="exact"/>
              <w:ind w:firstLine="435"/>
              <w:jc w:val="left"/>
              <w:rPr>
                <w:rFonts w:ascii="Times New Roman" w:hAnsi="Times New Roman" w:eastAsia="仿宋_GB2312"/>
                <w:color w:val="auto"/>
                <w:szCs w:val="21"/>
              </w:rPr>
            </w:pPr>
            <w:r>
              <w:rPr>
                <w:rFonts w:hint="eastAsia" w:ascii="Times New Roman" w:hAnsi="Times New Roman" w:eastAsia="仿宋_GB2312"/>
                <w:color w:val="auto"/>
                <w:szCs w:val="21"/>
              </w:rPr>
              <w:t xml:space="preserve">    第二十五条 住房城乡建设主管部门、其他有关部门的监督检查人员履行监督检查职责时，有权采取下列措施：</w:t>
            </w:r>
          </w:p>
          <w:p w14:paraId="06F29759">
            <w:pPr>
              <w:widowControl/>
              <w:autoSpaceDE w:val="0"/>
              <w:autoSpaceDN w:val="0"/>
              <w:spacing w:line="280" w:lineRule="exact"/>
              <w:ind w:firstLine="435"/>
              <w:jc w:val="left"/>
              <w:rPr>
                <w:rFonts w:ascii="Times New Roman" w:hAnsi="Times New Roman" w:eastAsia="仿宋_GB2312"/>
                <w:color w:val="auto"/>
                <w:szCs w:val="21"/>
              </w:rPr>
            </w:pPr>
            <w:r>
              <w:rPr>
                <w:rFonts w:hint="eastAsia" w:ascii="Times New Roman" w:hAnsi="Times New Roman" w:eastAsia="仿宋_GB2312"/>
                <w:color w:val="auto"/>
                <w:szCs w:val="21"/>
              </w:rPr>
              <w:t>（一）要求被检查企业提供建筑业企业资质证书、企业有关人员的注册执业证书、职称证书、岗位证书和考核或者培训合格证书，有关施工业务的文档，有关质量管理、安全生产管理、合同管理、档案管理、财务管理等企业内部管理制度的文件；</w:t>
            </w:r>
          </w:p>
          <w:p w14:paraId="79554BBE">
            <w:pPr>
              <w:widowControl/>
              <w:autoSpaceDE w:val="0"/>
              <w:autoSpaceDN w:val="0"/>
              <w:spacing w:line="280" w:lineRule="exact"/>
              <w:ind w:firstLine="435"/>
              <w:jc w:val="left"/>
              <w:rPr>
                <w:rFonts w:ascii="Times New Roman" w:hAnsi="Times New Roman" w:eastAsia="仿宋_GB2312"/>
                <w:color w:val="auto"/>
                <w:szCs w:val="21"/>
              </w:rPr>
            </w:pPr>
            <w:r>
              <w:rPr>
                <w:rFonts w:hint="eastAsia" w:ascii="Times New Roman" w:hAnsi="Times New Roman" w:eastAsia="仿宋_GB2312"/>
                <w:color w:val="auto"/>
                <w:szCs w:val="21"/>
              </w:rPr>
              <w:t>（二）进入被检查企业进行检查，查阅相关资料；</w:t>
            </w:r>
          </w:p>
          <w:p w14:paraId="743776F8">
            <w:pPr>
              <w:widowControl/>
              <w:autoSpaceDE w:val="0"/>
              <w:autoSpaceDN w:val="0"/>
              <w:spacing w:line="280" w:lineRule="exact"/>
              <w:ind w:firstLine="435"/>
              <w:jc w:val="left"/>
              <w:rPr>
                <w:rFonts w:ascii="Times New Roman" w:hAnsi="Times New Roman" w:eastAsia="仿宋_GB2312"/>
                <w:color w:val="auto"/>
                <w:szCs w:val="21"/>
              </w:rPr>
            </w:pPr>
            <w:r>
              <w:rPr>
                <w:rFonts w:hint="eastAsia" w:ascii="Times New Roman" w:hAnsi="Times New Roman" w:eastAsia="仿宋_GB2312"/>
                <w:color w:val="auto"/>
                <w:szCs w:val="21"/>
              </w:rPr>
              <w:t>（三）纠正违反有关法律、法规和本规定及有关规范和标准的行为。</w:t>
            </w:r>
          </w:p>
          <w:p w14:paraId="2DF463A2">
            <w:pPr>
              <w:widowControl/>
              <w:autoSpaceDE w:val="0"/>
              <w:autoSpaceDN w:val="0"/>
              <w:spacing w:line="280" w:lineRule="exact"/>
              <w:ind w:firstLine="435"/>
              <w:jc w:val="left"/>
              <w:rPr>
                <w:rFonts w:ascii="Times New Roman" w:hAnsi="Times New Roman" w:eastAsia="仿宋_GB2312"/>
                <w:color w:val="auto"/>
                <w:szCs w:val="21"/>
              </w:rPr>
            </w:pPr>
            <w:r>
              <w:rPr>
                <w:rFonts w:hint="eastAsia" w:ascii="Times New Roman" w:hAnsi="Times New Roman" w:eastAsia="仿宋_GB2312"/>
                <w:color w:val="auto"/>
                <w:szCs w:val="21"/>
              </w:rPr>
              <w:t>监督检查人员应当将监督检查情况和处理结果予以记录，由监督检查人员和被检查企业的有关人员签字确认后归档。</w:t>
            </w:r>
          </w:p>
        </w:tc>
        <w:tc>
          <w:tcPr>
            <w:tcW w:w="992" w:type="dxa"/>
            <w:vMerge w:val="restart"/>
            <w:tcBorders>
              <w:top w:val="single" w:color="auto" w:sz="4" w:space="0"/>
              <w:left w:val="single" w:color="auto" w:sz="4" w:space="0"/>
              <w:right w:val="single" w:color="auto" w:sz="4" w:space="0"/>
            </w:tcBorders>
            <w:shd w:val="clear" w:color="auto" w:fill="auto"/>
            <w:vAlign w:val="center"/>
          </w:tcPr>
          <w:p w14:paraId="648AE034">
            <w:pPr>
              <w:widowControl/>
              <w:autoSpaceDE w:val="0"/>
              <w:autoSpaceDN w:val="0"/>
              <w:spacing w:line="280" w:lineRule="exact"/>
              <w:jc w:val="left"/>
              <w:rPr>
                <w:rFonts w:ascii="Times New Roman" w:hAnsi="Times New Roman" w:eastAsia="仿宋_GB2312"/>
                <w:color w:val="auto"/>
                <w:szCs w:val="21"/>
              </w:rPr>
            </w:pPr>
            <w:r>
              <w:rPr>
                <w:rFonts w:hint="eastAsia" w:ascii="Times New Roman" w:hAnsi="Times New Roman" w:eastAsia="仿宋_GB2312"/>
                <w:color w:val="auto"/>
                <w:szCs w:val="21"/>
              </w:rPr>
              <w:t>现场检查、书面检查</w:t>
            </w:r>
          </w:p>
        </w:tc>
        <w:tc>
          <w:tcPr>
            <w:tcW w:w="1139" w:type="dxa"/>
            <w:vMerge w:val="restart"/>
            <w:tcBorders>
              <w:top w:val="single" w:color="auto" w:sz="4" w:space="0"/>
              <w:left w:val="single" w:color="auto" w:sz="4" w:space="0"/>
              <w:right w:val="single" w:color="auto" w:sz="4" w:space="0"/>
            </w:tcBorders>
            <w:shd w:val="clear" w:color="auto" w:fill="auto"/>
            <w:vAlign w:val="center"/>
          </w:tcPr>
          <w:p w14:paraId="2F16A02F">
            <w:pPr>
              <w:widowControl/>
              <w:autoSpaceDE w:val="0"/>
              <w:autoSpaceDN w:val="0"/>
              <w:spacing w:line="280" w:lineRule="exact"/>
              <w:jc w:val="center"/>
              <w:rPr>
                <w:rFonts w:ascii="Times New Roman" w:hAnsi="Times New Roman" w:eastAsia="仿宋_GB2312"/>
                <w:color w:val="auto"/>
                <w:szCs w:val="21"/>
              </w:rPr>
            </w:pPr>
            <w:r>
              <w:rPr>
                <w:rFonts w:hint="eastAsia" w:ascii="Times New Roman" w:hAnsi="Times New Roman" w:eastAsia="仿宋_GB2312"/>
                <w:color w:val="auto"/>
                <w:szCs w:val="21"/>
              </w:rPr>
              <w:t>每3个月1次检查重点企业。</w:t>
            </w:r>
          </w:p>
          <w:p w14:paraId="51B1334A">
            <w:pPr>
              <w:widowControl/>
              <w:autoSpaceDE w:val="0"/>
              <w:autoSpaceDN w:val="0"/>
              <w:spacing w:line="280" w:lineRule="exact"/>
              <w:jc w:val="center"/>
              <w:rPr>
                <w:rFonts w:ascii="Times New Roman" w:hAnsi="Times New Roman" w:eastAsia="仿宋_GB2312"/>
                <w:color w:val="auto"/>
                <w:szCs w:val="21"/>
              </w:rPr>
            </w:pPr>
            <w:r>
              <w:rPr>
                <w:rFonts w:hint="eastAsia" w:ascii="Times New Roman" w:hAnsi="Times New Roman" w:eastAsia="仿宋_GB2312"/>
                <w:color w:val="auto"/>
                <w:szCs w:val="21"/>
              </w:rPr>
              <w:t>对于非市政类企业：每年1次企业报送资质自检材料</w:t>
            </w:r>
          </w:p>
        </w:tc>
        <w:tc>
          <w:tcPr>
            <w:tcW w:w="1491" w:type="dxa"/>
            <w:tcBorders>
              <w:top w:val="single" w:color="auto" w:sz="4" w:space="0"/>
              <w:left w:val="single" w:color="auto" w:sz="4" w:space="0"/>
              <w:bottom w:val="single" w:color="auto" w:sz="4" w:space="0"/>
              <w:right w:val="single" w:color="auto" w:sz="4" w:space="0"/>
            </w:tcBorders>
            <w:shd w:val="clear" w:color="auto" w:fill="auto"/>
            <w:vAlign w:val="center"/>
          </w:tcPr>
          <w:p w14:paraId="61C6BE61">
            <w:pPr>
              <w:widowControl/>
              <w:autoSpaceDE w:val="0"/>
              <w:autoSpaceDN w:val="0"/>
              <w:spacing w:line="280" w:lineRule="exact"/>
              <w:jc w:val="center"/>
              <w:rPr>
                <w:rFonts w:ascii="Times New Roman" w:hAnsi="Times New Roman" w:eastAsia="仿宋_GB2312"/>
                <w:color w:val="auto"/>
                <w:szCs w:val="21"/>
              </w:rPr>
            </w:pPr>
            <w:r>
              <w:rPr>
                <w:rFonts w:hint="eastAsia" w:ascii="Times New Roman" w:hAnsi="Times New Roman" w:eastAsia="仿宋_GB2312"/>
                <w:color w:val="auto"/>
                <w:szCs w:val="21"/>
              </w:rPr>
              <w:t>320217064000</w:t>
            </w:r>
          </w:p>
        </w:tc>
        <w:tc>
          <w:tcPr>
            <w:tcW w:w="1481" w:type="dxa"/>
            <w:tcBorders>
              <w:top w:val="single" w:color="auto" w:sz="4" w:space="0"/>
              <w:left w:val="single" w:color="auto" w:sz="4" w:space="0"/>
              <w:bottom w:val="single" w:color="auto" w:sz="4" w:space="0"/>
              <w:right w:val="single" w:color="auto" w:sz="4" w:space="0"/>
            </w:tcBorders>
            <w:shd w:val="clear" w:color="auto" w:fill="auto"/>
            <w:vAlign w:val="center"/>
          </w:tcPr>
          <w:p w14:paraId="4B58D98B">
            <w:pPr>
              <w:widowControl/>
              <w:autoSpaceDE w:val="0"/>
              <w:autoSpaceDN w:val="0"/>
              <w:spacing w:line="280" w:lineRule="exact"/>
              <w:rPr>
                <w:rFonts w:ascii="Times New Roman" w:hAnsi="Times New Roman" w:eastAsia="仿宋_GB2312"/>
                <w:color w:val="auto"/>
                <w:szCs w:val="21"/>
              </w:rPr>
            </w:pPr>
            <w:r>
              <w:rPr>
                <w:rFonts w:hint="eastAsia" w:ascii="Times New Roman" w:hAnsi="Times New Roman" w:eastAsia="仿宋_GB2312"/>
                <w:color w:val="auto"/>
                <w:szCs w:val="21"/>
              </w:rPr>
              <w:t>对勘察、设计、施工单位将所承包的工程转包或者违法分包，工程监理单位转让工程监理业务的处罚</w:t>
            </w:r>
          </w:p>
        </w:tc>
        <w:tc>
          <w:tcPr>
            <w:tcW w:w="622" w:type="dxa"/>
            <w:vMerge w:val="restart"/>
            <w:tcBorders>
              <w:top w:val="single" w:color="auto" w:sz="4" w:space="0"/>
              <w:left w:val="single" w:color="auto" w:sz="4" w:space="0"/>
              <w:right w:val="single" w:color="auto" w:sz="4" w:space="0"/>
            </w:tcBorders>
            <w:shd w:val="clear" w:color="auto" w:fill="auto"/>
            <w:vAlign w:val="center"/>
          </w:tcPr>
          <w:p w14:paraId="2EB637ED">
            <w:pPr>
              <w:spacing w:line="280" w:lineRule="exact"/>
              <w:rPr>
                <w:rFonts w:ascii="Times New Roman" w:hAnsi="Times New Roman" w:eastAsia="仿宋_GB2312"/>
                <w:color w:val="auto"/>
                <w:kern w:val="0"/>
                <w:szCs w:val="21"/>
              </w:rPr>
            </w:pPr>
            <w:r>
              <w:rPr>
                <w:rFonts w:hint="eastAsia" w:ascii="Times New Roman" w:hAnsi="Times New Roman" w:eastAsia="仿宋_GB2312"/>
                <w:color w:val="auto"/>
                <w:kern w:val="0"/>
                <w:sz w:val="18"/>
                <w:szCs w:val="21"/>
              </w:rPr>
              <w:t>3.省级资质许可事项由省住建厅实施；4.部级许可事项由住建部实施</w:t>
            </w:r>
            <w:r>
              <w:rPr>
                <w:rFonts w:hint="eastAsia" w:ascii="Times New Roman" w:hAnsi="Times New Roman" w:eastAsia="仿宋_GB2312"/>
                <w:color w:val="auto"/>
                <w:kern w:val="0"/>
                <w:sz w:val="20"/>
                <w:szCs w:val="21"/>
              </w:rPr>
              <w:t>。</w:t>
            </w:r>
          </w:p>
        </w:tc>
      </w:tr>
      <w:tr w14:paraId="0C4CB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4" w:hRule="atLeast"/>
          <w:jc w:val="center"/>
        </w:trPr>
        <w:tc>
          <w:tcPr>
            <w:tcW w:w="536" w:type="dxa"/>
            <w:vMerge w:val="continue"/>
            <w:tcBorders>
              <w:left w:val="single" w:color="auto" w:sz="4" w:space="0"/>
              <w:bottom w:val="single" w:color="auto" w:sz="4" w:space="0"/>
              <w:right w:val="single" w:color="auto" w:sz="4" w:space="0"/>
            </w:tcBorders>
            <w:shd w:val="clear" w:color="auto" w:fill="auto"/>
            <w:vAlign w:val="center"/>
          </w:tcPr>
          <w:p w14:paraId="5A17F62A">
            <w:pPr>
              <w:widowControl/>
              <w:autoSpaceDE w:val="0"/>
              <w:autoSpaceDN w:val="0"/>
              <w:spacing w:line="280" w:lineRule="exact"/>
              <w:jc w:val="left"/>
              <w:rPr>
                <w:rFonts w:ascii="Times New Roman" w:hAnsi="Times New Roman" w:eastAsia="仿宋_GB2312"/>
                <w:color w:val="auto"/>
                <w:szCs w:val="21"/>
              </w:rPr>
            </w:pPr>
          </w:p>
        </w:tc>
        <w:tc>
          <w:tcPr>
            <w:tcW w:w="1324" w:type="dxa"/>
            <w:vMerge w:val="continue"/>
            <w:tcBorders>
              <w:left w:val="single" w:color="auto" w:sz="4" w:space="0"/>
              <w:bottom w:val="single" w:color="auto" w:sz="4" w:space="0"/>
              <w:right w:val="single" w:color="auto" w:sz="4" w:space="0"/>
            </w:tcBorders>
            <w:shd w:val="clear" w:color="auto" w:fill="auto"/>
            <w:vAlign w:val="center"/>
          </w:tcPr>
          <w:p w14:paraId="2258B1C4">
            <w:pPr>
              <w:widowControl/>
              <w:autoSpaceDE w:val="0"/>
              <w:autoSpaceDN w:val="0"/>
              <w:spacing w:line="280" w:lineRule="exact"/>
              <w:jc w:val="left"/>
              <w:rPr>
                <w:rFonts w:ascii="Times New Roman" w:hAnsi="Times New Roman" w:eastAsia="仿宋_GB2312"/>
                <w:color w:val="auto"/>
                <w:szCs w:val="21"/>
              </w:rPr>
            </w:pPr>
          </w:p>
        </w:tc>
        <w:tc>
          <w:tcPr>
            <w:tcW w:w="794" w:type="dxa"/>
            <w:vMerge w:val="continue"/>
            <w:tcBorders>
              <w:left w:val="single" w:color="auto" w:sz="4" w:space="0"/>
              <w:bottom w:val="single" w:color="auto" w:sz="4" w:space="0"/>
              <w:right w:val="single" w:color="auto" w:sz="4" w:space="0"/>
            </w:tcBorders>
            <w:shd w:val="clear" w:color="auto" w:fill="auto"/>
            <w:vAlign w:val="center"/>
          </w:tcPr>
          <w:p w14:paraId="176230E0">
            <w:pPr>
              <w:widowControl/>
              <w:autoSpaceDE w:val="0"/>
              <w:autoSpaceDN w:val="0"/>
              <w:spacing w:line="280" w:lineRule="exact"/>
              <w:jc w:val="left"/>
              <w:rPr>
                <w:rFonts w:ascii="Times New Roman" w:hAnsi="Times New Roman" w:eastAsia="仿宋_GB2312"/>
                <w:color w:val="auto"/>
                <w:szCs w:val="21"/>
              </w:rPr>
            </w:pPr>
          </w:p>
        </w:tc>
        <w:tc>
          <w:tcPr>
            <w:tcW w:w="872" w:type="dxa"/>
            <w:vMerge w:val="continue"/>
            <w:tcBorders>
              <w:left w:val="single" w:color="auto" w:sz="4" w:space="0"/>
              <w:bottom w:val="single" w:color="auto" w:sz="4" w:space="0"/>
              <w:right w:val="single" w:color="auto" w:sz="4" w:space="0"/>
            </w:tcBorders>
            <w:shd w:val="clear" w:color="auto" w:fill="auto"/>
            <w:vAlign w:val="center"/>
          </w:tcPr>
          <w:p w14:paraId="338D5267">
            <w:pPr>
              <w:widowControl/>
              <w:autoSpaceDE w:val="0"/>
              <w:autoSpaceDN w:val="0"/>
              <w:spacing w:line="280" w:lineRule="exact"/>
              <w:jc w:val="left"/>
              <w:rPr>
                <w:rFonts w:ascii="Times New Roman" w:hAnsi="Times New Roman" w:eastAsia="仿宋_GB2312"/>
                <w:color w:val="auto"/>
                <w:szCs w:val="21"/>
              </w:rPr>
            </w:pPr>
          </w:p>
        </w:tc>
        <w:tc>
          <w:tcPr>
            <w:tcW w:w="869" w:type="dxa"/>
            <w:vMerge w:val="continue"/>
            <w:tcBorders>
              <w:left w:val="single" w:color="auto" w:sz="4" w:space="0"/>
              <w:bottom w:val="single" w:color="auto" w:sz="4" w:space="0"/>
              <w:right w:val="single" w:color="auto" w:sz="4" w:space="0"/>
            </w:tcBorders>
            <w:shd w:val="clear" w:color="auto" w:fill="auto"/>
            <w:vAlign w:val="center"/>
          </w:tcPr>
          <w:p w14:paraId="18038B47">
            <w:pPr>
              <w:widowControl/>
              <w:autoSpaceDE w:val="0"/>
              <w:autoSpaceDN w:val="0"/>
              <w:spacing w:line="280" w:lineRule="exact"/>
              <w:jc w:val="left"/>
              <w:rPr>
                <w:rFonts w:ascii="Times New Roman" w:hAnsi="Times New Roman" w:eastAsia="仿宋_GB2312"/>
                <w:color w:val="auto"/>
                <w:szCs w:val="21"/>
              </w:rPr>
            </w:pPr>
          </w:p>
        </w:tc>
        <w:tc>
          <w:tcPr>
            <w:tcW w:w="4962" w:type="dxa"/>
            <w:vMerge w:val="continue"/>
            <w:tcBorders>
              <w:left w:val="single" w:color="auto" w:sz="4" w:space="0"/>
              <w:bottom w:val="single" w:color="auto" w:sz="4" w:space="0"/>
              <w:right w:val="single" w:color="auto" w:sz="4" w:space="0"/>
            </w:tcBorders>
            <w:shd w:val="clear" w:color="auto" w:fill="auto"/>
            <w:vAlign w:val="center"/>
          </w:tcPr>
          <w:p w14:paraId="2973F0E2">
            <w:pPr>
              <w:widowControl/>
              <w:autoSpaceDE w:val="0"/>
              <w:autoSpaceDN w:val="0"/>
              <w:spacing w:line="280" w:lineRule="exact"/>
              <w:jc w:val="left"/>
              <w:rPr>
                <w:rFonts w:ascii="Times New Roman" w:hAnsi="Times New Roman" w:eastAsia="仿宋_GB2312"/>
                <w:color w:val="auto"/>
                <w:szCs w:val="21"/>
              </w:rPr>
            </w:pPr>
          </w:p>
        </w:tc>
        <w:tc>
          <w:tcPr>
            <w:tcW w:w="992" w:type="dxa"/>
            <w:vMerge w:val="continue"/>
            <w:tcBorders>
              <w:left w:val="single" w:color="auto" w:sz="4" w:space="0"/>
              <w:bottom w:val="single" w:color="auto" w:sz="4" w:space="0"/>
              <w:right w:val="single" w:color="auto" w:sz="4" w:space="0"/>
            </w:tcBorders>
            <w:shd w:val="clear" w:color="auto" w:fill="auto"/>
            <w:vAlign w:val="center"/>
          </w:tcPr>
          <w:p w14:paraId="546442CD">
            <w:pPr>
              <w:widowControl/>
              <w:autoSpaceDE w:val="0"/>
              <w:autoSpaceDN w:val="0"/>
              <w:spacing w:line="280" w:lineRule="exact"/>
              <w:jc w:val="left"/>
              <w:rPr>
                <w:rFonts w:ascii="Times New Roman" w:hAnsi="Times New Roman" w:eastAsia="仿宋_GB2312"/>
                <w:color w:val="auto"/>
                <w:szCs w:val="21"/>
              </w:rPr>
            </w:pPr>
          </w:p>
        </w:tc>
        <w:tc>
          <w:tcPr>
            <w:tcW w:w="1139" w:type="dxa"/>
            <w:vMerge w:val="continue"/>
            <w:tcBorders>
              <w:left w:val="single" w:color="auto" w:sz="4" w:space="0"/>
              <w:bottom w:val="single" w:color="auto" w:sz="4" w:space="0"/>
              <w:right w:val="single" w:color="auto" w:sz="4" w:space="0"/>
            </w:tcBorders>
            <w:shd w:val="clear" w:color="auto" w:fill="auto"/>
            <w:vAlign w:val="center"/>
          </w:tcPr>
          <w:p w14:paraId="4A8328CD">
            <w:pPr>
              <w:widowControl/>
              <w:autoSpaceDE w:val="0"/>
              <w:autoSpaceDN w:val="0"/>
              <w:spacing w:line="280" w:lineRule="exact"/>
              <w:jc w:val="center"/>
              <w:rPr>
                <w:rFonts w:ascii="Times New Roman" w:hAnsi="Times New Roman" w:eastAsia="仿宋_GB2312"/>
                <w:color w:val="auto"/>
                <w:szCs w:val="21"/>
              </w:rPr>
            </w:pPr>
          </w:p>
        </w:tc>
        <w:tc>
          <w:tcPr>
            <w:tcW w:w="1491" w:type="dxa"/>
            <w:tcBorders>
              <w:top w:val="single" w:color="auto" w:sz="4" w:space="0"/>
              <w:left w:val="single" w:color="auto" w:sz="4" w:space="0"/>
              <w:bottom w:val="single" w:color="auto" w:sz="4" w:space="0"/>
              <w:right w:val="single" w:color="auto" w:sz="4" w:space="0"/>
            </w:tcBorders>
            <w:shd w:val="clear" w:color="auto" w:fill="auto"/>
            <w:vAlign w:val="center"/>
          </w:tcPr>
          <w:p w14:paraId="01A7F459">
            <w:pPr>
              <w:widowControl/>
              <w:autoSpaceDE w:val="0"/>
              <w:autoSpaceDN w:val="0"/>
              <w:spacing w:line="280" w:lineRule="exact"/>
              <w:jc w:val="center"/>
              <w:rPr>
                <w:rFonts w:ascii="Times New Roman" w:hAnsi="Times New Roman" w:eastAsia="仿宋_GB2312"/>
                <w:color w:val="auto"/>
                <w:szCs w:val="21"/>
              </w:rPr>
            </w:pPr>
            <w:r>
              <w:rPr>
                <w:rFonts w:hint="eastAsia" w:ascii="Times New Roman" w:hAnsi="Times New Roman" w:eastAsia="仿宋_GB2312"/>
                <w:color w:val="auto"/>
                <w:szCs w:val="21"/>
              </w:rPr>
              <w:t>320217052000</w:t>
            </w:r>
          </w:p>
        </w:tc>
        <w:tc>
          <w:tcPr>
            <w:tcW w:w="1481" w:type="dxa"/>
            <w:tcBorders>
              <w:top w:val="single" w:color="auto" w:sz="4" w:space="0"/>
              <w:left w:val="single" w:color="auto" w:sz="4" w:space="0"/>
              <w:bottom w:val="single" w:color="auto" w:sz="4" w:space="0"/>
              <w:right w:val="single" w:color="auto" w:sz="4" w:space="0"/>
            </w:tcBorders>
            <w:shd w:val="clear" w:color="auto" w:fill="auto"/>
            <w:vAlign w:val="center"/>
          </w:tcPr>
          <w:p w14:paraId="40E14DB2">
            <w:pPr>
              <w:widowControl/>
              <w:autoSpaceDE w:val="0"/>
              <w:autoSpaceDN w:val="0"/>
              <w:spacing w:line="280" w:lineRule="exact"/>
              <w:rPr>
                <w:rFonts w:ascii="Times New Roman" w:hAnsi="Times New Roman" w:eastAsia="仿宋_GB2312"/>
                <w:color w:val="auto"/>
                <w:szCs w:val="21"/>
              </w:rPr>
            </w:pPr>
            <w:r>
              <w:rPr>
                <w:rFonts w:hint="eastAsia" w:ascii="Times New Roman" w:hAnsi="Times New Roman" w:eastAsia="仿宋_GB2312"/>
                <w:color w:val="auto"/>
                <w:szCs w:val="21"/>
              </w:rPr>
              <w:t>对建筑业企业未及时办理建筑业企业资质证书变更手续的处罚</w:t>
            </w:r>
          </w:p>
        </w:tc>
        <w:tc>
          <w:tcPr>
            <w:tcW w:w="622" w:type="dxa"/>
            <w:vMerge w:val="continue"/>
            <w:tcBorders>
              <w:left w:val="single" w:color="auto" w:sz="4" w:space="0"/>
              <w:bottom w:val="single" w:color="auto" w:sz="4" w:space="0"/>
              <w:right w:val="single" w:color="auto" w:sz="4" w:space="0"/>
            </w:tcBorders>
            <w:shd w:val="clear" w:color="auto" w:fill="auto"/>
            <w:vAlign w:val="center"/>
          </w:tcPr>
          <w:p w14:paraId="70E4EFF1">
            <w:pPr>
              <w:spacing w:line="280" w:lineRule="exact"/>
              <w:rPr>
                <w:rFonts w:ascii="Times New Roman" w:hAnsi="Times New Roman" w:eastAsia="仿宋_GB2312"/>
                <w:color w:val="auto"/>
                <w:kern w:val="0"/>
                <w:szCs w:val="21"/>
              </w:rPr>
            </w:pPr>
          </w:p>
        </w:tc>
      </w:tr>
      <w:tr w14:paraId="75BB2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2" w:hRule="atLeast"/>
          <w:jc w:val="center"/>
        </w:trPr>
        <w:tc>
          <w:tcPr>
            <w:tcW w:w="536" w:type="dxa"/>
            <w:vMerge w:val="restart"/>
            <w:tcBorders>
              <w:top w:val="single" w:color="auto" w:sz="4" w:space="0"/>
              <w:left w:val="single" w:color="auto" w:sz="4" w:space="0"/>
              <w:right w:val="single" w:color="auto" w:sz="4" w:space="0"/>
            </w:tcBorders>
            <w:shd w:val="clear" w:color="auto" w:fill="auto"/>
            <w:vAlign w:val="center"/>
          </w:tcPr>
          <w:p w14:paraId="12F722BD">
            <w:pPr>
              <w:widowControl/>
              <w:autoSpaceDE w:val="0"/>
              <w:autoSpaceDN w:val="0"/>
              <w:spacing w:line="280" w:lineRule="exact"/>
              <w:jc w:val="center"/>
              <w:rPr>
                <w:rFonts w:ascii="Times New Roman" w:hAnsi="Times New Roman" w:eastAsia="仿宋_GB2312"/>
                <w:color w:val="auto"/>
                <w:szCs w:val="21"/>
              </w:rPr>
            </w:pPr>
            <w:r>
              <w:rPr>
                <w:rFonts w:hint="eastAsia" w:ascii="Times New Roman" w:hAnsi="Times New Roman" w:eastAsia="仿宋_GB2312"/>
                <w:color w:val="auto"/>
                <w:szCs w:val="21"/>
              </w:rPr>
              <w:t>5</w:t>
            </w:r>
          </w:p>
        </w:tc>
        <w:tc>
          <w:tcPr>
            <w:tcW w:w="1324" w:type="dxa"/>
            <w:vMerge w:val="restart"/>
            <w:tcBorders>
              <w:top w:val="single" w:color="auto" w:sz="4" w:space="0"/>
              <w:left w:val="single" w:color="auto" w:sz="4" w:space="0"/>
              <w:right w:val="single" w:color="auto" w:sz="4" w:space="0"/>
            </w:tcBorders>
            <w:shd w:val="clear" w:color="auto" w:fill="auto"/>
            <w:vAlign w:val="center"/>
          </w:tcPr>
          <w:p w14:paraId="3CD56164">
            <w:pPr>
              <w:widowControl/>
              <w:autoSpaceDE w:val="0"/>
              <w:autoSpaceDN w:val="0"/>
              <w:spacing w:line="280" w:lineRule="exact"/>
              <w:jc w:val="left"/>
              <w:rPr>
                <w:rFonts w:ascii="Times New Roman" w:hAnsi="Times New Roman" w:eastAsia="仿宋_GB2312"/>
                <w:color w:val="auto"/>
                <w:szCs w:val="21"/>
              </w:rPr>
            </w:pPr>
            <w:r>
              <w:rPr>
                <w:rFonts w:hint="eastAsia" w:ascii="Times New Roman" w:hAnsi="Times New Roman" w:eastAsia="仿宋_GB2312"/>
                <w:color w:val="auto"/>
                <w:szCs w:val="21"/>
              </w:rPr>
              <w:t>建筑劳务项目现场检查</w:t>
            </w:r>
          </w:p>
        </w:tc>
        <w:tc>
          <w:tcPr>
            <w:tcW w:w="794" w:type="dxa"/>
            <w:vMerge w:val="restart"/>
            <w:tcBorders>
              <w:top w:val="single" w:color="auto" w:sz="4" w:space="0"/>
              <w:left w:val="single" w:color="auto" w:sz="4" w:space="0"/>
              <w:right w:val="single" w:color="auto" w:sz="4" w:space="0"/>
            </w:tcBorders>
            <w:shd w:val="clear" w:color="auto" w:fill="auto"/>
            <w:vAlign w:val="center"/>
          </w:tcPr>
          <w:p w14:paraId="309E4726">
            <w:pPr>
              <w:widowControl/>
              <w:autoSpaceDE w:val="0"/>
              <w:autoSpaceDN w:val="0"/>
              <w:spacing w:line="280" w:lineRule="exact"/>
              <w:jc w:val="center"/>
              <w:rPr>
                <w:rFonts w:ascii="Times New Roman" w:hAnsi="Times New Roman" w:eastAsia="仿宋_GB2312"/>
                <w:color w:val="auto"/>
                <w:szCs w:val="21"/>
              </w:rPr>
            </w:pPr>
            <w:r>
              <w:rPr>
                <w:rFonts w:hint="eastAsia" w:ascii="Times New Roman" w:hAnsi="Times New Roman" w:eastAsia="仿宋_GB2312"/>
                <w:color w:val="auto"/>
                <w:szCs w:val="21"/>
              </w:rPr>
              <w:t>苏州市相城区住房和城乡建设局</w:t>
            </w:r>
          </w:p>
        </w:tc>
        <w:tc>
          <w:tcPr>
            <w:tcW w:w="872" w:type="dxa"/>
            <w:vMerge w:val="restart"/>
            <w:tcBorders>
              <w:top w:val="single" w:color="auto" w:sz="4" w:space="0"/>
              <w:left w:val="single" w:color="auto" w:sz="4" w:space="0"/>
              <w:right w:val="single" w:color="auto" w:sz="4" w:space="0"/>
            </w:tcBorders>
            <w:shd w:val="clear" w:color="auto" w:fill="auto"/>
            <w:vAlign w:val="center"/>
          </w:tcPr>
          <w:p w14:paraId="698BA746">
            <w:pPr>
              <w:widowControl/>
              <w:autoSpaceDE w:val="0"/>
              <w:autoSpaceDN w:val="0"/>
              <w:spacing w:line="280" w:lineRule="exact"/>
              <w:jc w:val="left"/>
              <w:rPr>
                <w:rFonts w:ascii="Times New Roman" w:hAnsi="Times New Roman" w:eastAsia="仿宋_GB2312"/>
                <w:color w:val="auto"/>
                <w:szCs w:val="21"/>
              </w:rPr>
            </w:pPr>
            <w:r>
              <w:rPr>
                <w:rFonts w:hint="eastAsia" w:ascii="Times New Roman" w:hAnsi="Times New Roman" w:eastAsia="仿宋_GB2312"/>
                <w:color w:val="auto"/>
                <w:szCs w:val="21"/>
              </w:rPr>
              <w:t>相城区建筑管理服务中心</w:t>
            </w:r>
          </w:p>
        </w:tc>
        <w:tc>
          <w:tcPr>
            <w:tcW w:w="869" w:type="dxa"/>
            <w:vMerge w:val="restart"/>
            <w:tcBorders>
              <w:top w:val="single" w:color="auto" w:sz="4" w:space="0"/>
              <w:left w:val="single" w:color="auto" w:sz="4" w:space="0"/>
              <w:right w:val="single" w:color="auto" w:sz="4" w:space="0"/>
            </w:tcBorders>
            <w:shd w:val="clear" w:color="auto" w:fill="auto"/>
            <w:vAlign w:val="center"/>
          </w:tcPr>
          <w:p w14:paraId="3D48081B">
            <w:pPr>
              <w:widowControl/>
              <w:autoSpaceDE w:val="0"/>
              <w:autoSpaceDN w:val="0"/>
              <w:spacing w:line="280" w:lineRule="exact"/>
              <w:jc w:val="left"/>
              <w:rPr>
                <w:rFonts w:ascii="Times New Roman" w:hAnsi="Times New Roman" w:eastAsia="仿宋_GB2312"/>
                <w:color w:val="auto"/>
                <w:szCs w:val="21"/>
              </w:rPr>
            </w:pPr>
            <w:r>
              <w:rPr>
                <w:rFonts w:hint="eastAsia" w:ascii="Times New Roman" w:hAnsi="Times New Roman" w:eastAsia="仿宋_GB2312"/>
                <w:color w:val="auto"/>
                <w:szCs w:val="21"/>
              </w:rPr>
              <w:t>建筑劳务企业</w:t>
            </w:r>
          </w:p>
        </w:tc>
        <w:tc>
          <w:tcPr>
            <w:tcW w:w="4962" w:type="dxa"/>
            <w:vMerge w:val="restart"/>
            <w:tcBorders>
              <w:top w:val="single" w:color="auto" w:sz="4" w:space="0"/>
              <w:left w:val="single" w:color="auto" w:sz="4" w:space="0"/>
              <w:right w:val="single" w:color="auto" w:sz="4" w:space="0"/>
            </w:tcBorders>
            <w:shd w:val="clear" w:color="auto" w:fill="auto"/>
            <w:vAlign w:val="center"/>
          </w:tcPr>
          <w:p w14:paraId="5CEB238B">
            <w:pPr>
              <w:widowControl/>
              <w:autoSpaceDE w:val="0"/>
              <w:autoSpaceDN w:val="0"/>
              <w:spacing w:line="280" w:lineRule="exact"/>
              <w:jc w:val="left"/>
              <w:rPr>
                <w:rFonts w:ascii="Times New Roman" w:hAnsi="Times New Roman" w:eastAsia="仿宋_GB2312"/>
                <w:color w:val="auto"/>
                <w:szCs w:val="21"/>
              </w:rPr>
            </w:pPr>
            <w:r>
              <w:rPr>
                <w:rFonts w:hint="eastAsia" w:ascii="Times New Roman" w:hAnsi="Times New Roman" w:eastAsia="仿宋_GB2312"/>
                <w:color w:val="auto"/>
                <w:szCs w:val="21"/>
              </w:rPr>
              <w:t>【法律】《中华人民共和国行政许可法》</w:t>
            </w:r>
          </w:p>
          <w:p w14:paraId="1E0E5F94">
            <w:pPr>
              <w:widowControl/>
              <w:autoSpaceDE w:val="0"/>
              <w:autoSpaceDN w:val="0"/>
              <w:spacing w:line="280" w:lineRule="exact"/>
              <w:jc w:val="left"/>
              <w:rPr>
                <w:rFonts w:ascii="Times New Roman" w:hAnsi="Times New Roman" w:eastAsia="仿宋_GB2312"/>
                <w:color w:val="auto"/>
                <w:szCs w:val="21"/>
              </w:rPr>
            </w:pPr>
            <w:r>
              <w:rPr>
                <w:rFonts w:hint="eastAsia" w:ascii="Times New Roman" w:hAnsi="Times New Roman" w:eastAsia="仿宋_GB2312"/>
                <w:color w:val="auto"/>
                <w:szCs w:val="21"/>
              </w:rPr>
              <w:t xml:space="preserve">    第六十一条 行政机关应当建立健全监督制度，通过核查反映被许可人从事行政许可事项活动情况的有关材料，履行监督责任。</w:t>
            </w:r>
          </w:p>
          <w:p w14:paraId="72D57613">
            <w:pPr>
              <w:widowControl/>
              <w:autoSpaceDE w:val="0"/>
              <w:autoSpaceDN w:val="0"/>
              <w:spacing w:line="280" w:lineRule="exact"/>
              <w:ind w:firstLine="420" w:firstLineChars="200"/>
              <w:jc w:val="left"/>
              <w:rPr>
                <w:rFonts w:ascii="Times New Roman" w:hAnsi="Times New Roman" w:eastAsia="仿宋_GB2312"/>
                <w:color w:val="auto"/>
                <w:szCs w:val="21"/>
              </w:rPr>
            </w:pPr>
            <w:r>
              <w:rPr>
                <w:rFonts w:hint="eastAsia" w:ascii="Times New Roman" w:hAnsi="Times New Roman" w:eastAsia="仿宋_GB2312"/>
                <w:color w:val="auto"/>
                <w:szCs w:val="21"/>
              </w:rPr>
              <w:t>行政机关依法对被许可人从事行政许可事项的活动进行监督检查时，应当将监督检查的情况和处理结果予以记录，由监督检查人员签字后归档。公众有权查阅行政机关监督检查记录。</w:t>
            </w:r>
          </w:p>
          <w:p w14:paraId="4A1463BD">
            <w:pPr>
              <w:widowControl/>
              <w:autoSpaceDE w:val="0"/>
              <w:autoSpaceDN w:val="0"/>
              <w:spacing w:line="280" w:lineRule="exact"/>
              <w:ind w:firstLine="420" w:firstLineChars="200"/>
              <w:jc w:val="left"/>
              <w:rPr>
                <w:rFonts w:ascii="Times New Roman" w:hAnsi="Times New Roman" w:eastAsia="仿宋_GB2312"/>
                <w:color w:val="auto"/>
                <w:szCs w:val="21"/>
              </w:rPr>
            </w:pPr>
            <w:r>
              <w:rPr>
                <w:rFonts w:hint="eastAsia" w:ascii="Times New Roman" w:hAnsi="Times New Roman" w:eastAsia="仿宋_GB2312"/>
                <w:color w:val="auto"/>
                <w:szCs w:val="21"/>
              </w:rPr>
              <w:t>行政机关应当创造条件，实现与被许可人、其他有关行政机关的计算机档案系统互联，核查被许可人从事行政许可事项活动情况。</w:t>
            </w:r>
          </w:p>
          <w:p w14:paraId="2DDDB766">
            <w:pPr>
              <w:autoSpaceDE w:val="0"/>
              <w:autoSpaceDN w:val="0"/>
              <w:spacing w:line="280" w:lineRule="exact"/>
              <w:ind w:firstLine="420" w:firstLineChars="200"/>
              <w:jc w:val="left"/>
              <w:rPr>
                <w:rFonts w:ascii="Times New Roman" w:hAnsi="Times New Roman" w:eastAsia="仿宋_GB2312"/>
                <w:color w:val="auto"/>
                <w:szCs w:val="21"/>
              </w:rPr>
            </w:pPr>
            <w:r>
              <w:rPr>
                <w:rFonts w:hint="eastAsia" w:ascii="Times New Roman" w:hAnsi="Times New Roman" w:eastAsia="仿宋_GB2312"/>
                <w:color w:val="auto"/>
                <w:szCs w:val="21"/>
              </w:rPr>
              <w:t>第六十二条 行政机关可以对被许可人生产经营的产品依法进行抽样检查、检验、检测，对其生产经营场所依法进行实地检查。检查时，行政机关可以依法查阅或者要求被许可人报送有关材料；被许可人应当如实提供有关情况和材料。</w:t>
            </w:r>
          </w:p>
          <w:p w14:paraId="67696C28">
            <w:pPr>
              <w:autoSpaceDE w:val="0"/>
              <w:autoSpaceDN w:val="0"/>
              <w:spacing w:line="280" w:lineRule="exact"/>
              <w:ind w:firstLine="420" w:firstLineChars="200"/>
              <w:jc w:val="left"/>
              <w:rPr>
                <w:rFonts w:ascii="Times New Roman" w:hAnsi="Times New Roman" w:eastAsia="仿宋_GB2312"/>
                <w:color w:val="auto"/>
                <w:szCs w:val="21"/>
              </w:rPr>
            </w:pPr>
            <w:r>
              <w:rPr>
                <w:rFonts w:hint="eastAsia" w:ascii="Times New Roman" w:hAnsi="Times New Roman" w:eastAsia="仿宋_GB2312"/>
                <w:color w:val="auto"/>
                <w:szCs w:val="21"/>
              </w:rPr>
              <w:t>行政机关根据法律、行政法规的规定，对直接关系公共安全、人身健康、生命财产安全的重要设备、设施进行定期检验。对检验合格的，行政机关应当发给相应的证明文件。</w:t>
            </w:r>
          </w:p>
          <w:p w14:paraId="6485CDB1">
            <w:pPr>
              <w:autoSpaceDE w:val="0"/>
              <w:autoSpaceDN w:val="0"/>
              <w:spacing w:line="280" w:lineRule="exact"/>
              <w:jc w:val="left"/>
              <w:rPr>
                <w:rFonts w:ascii="Times New Roman" w:hAnsi="Times New Roman" w:eastAsia="仿宋_GB2312"/>
                <w:color w:val="auto"/>
                <w:szCs w:val="21"/>
              </w:rPr>
            </w:pPr>
            <w:r>
              <w:rPr>
                <w:rFonts w:hint="eastAsia" w:ascii="Times New Roman" w:hAnsi="Times New Roman" w:eastAsia="仿宋_GB2312"/>
                <w:color w:val="auto"/>
                <w:szCs w:val="21"/>
              </w:rPr>
              <w:t>【部门规章】《建筑业企业资质管理规定》</w:t>
            </w:r>
          </w:p>
          <w:p w14:paraId="09622019">
            <w:pPr>
              <w:autoSpaceDE w:val="0"/>
              <w:autoSpaceDN w:val="0"/>
              <w:spacing w:line="280" w:lineRule="exact"/>
              <w:ind w:firstLine="420" w:firstLineChars="200"/>
              <w:jc w:val="left"/>
              <w:rPr>
                <w:rFonts w:ascii="Times New Roman" w:hAnsi="Times New Roman" w:eastAsia="仿宋_GB2312"/>
                <w:color w:val="auto"/>
                <w:szCs w:val="21"/>
              </w:rPr>
            </w:pPr>
            <w:r>
              <w:rPr>
                <w:rFonts w:hint="eastAsia" w:ascii="Times New Roman" w:hAnsi="Times New Roman" w:eastAsia="仿宋_GB2312"/>
                <w:color w:val="auto"/>
                <w:szCs w:val="21"/>
              </w:rPr>
              <w:t xml:space="preserve">第二十四条 县级以上人民政府住房城乡建设主管部门和其他有关部门应当依照有关法律、法规和本规定，加强对企业取得建筑业企业资质后是否满足资质标准和市场行为的监督管理。 </w:t>
            </w:r>
          </w:p>
          <w:p w14:paraId="5BF9DE80">
            <w:pPr>
              <w:pStyle w:val="4"/>
              <w:ind w:firstLine="420" w:firstLineChars="200"/>
              <w:rPr>
                <w:rFonts w:ascii="Times New Roman" w:hAnsi="Times New Roman"/>
                <w:color w:val="auto"/>
              </w:rPr>
            </w:pPr>
            <w:r>
              <w:rPr>
                <w:rFonts w:hint="eastAsia" w:ascii="Times New Roman" w:hAnsi="Times New Roman" w:eastAsia="仿宋_GB2312"/>
                <w:color w:val="auto"/>
                <w:szCs w:val="21"/>
              </w:rPr>
              <w:t>第二十五条 住房城乡建设主管部门、其他有关部门的监督检查人员履行监督检查职责时，有权采取</w:t>
            </w:r>
          </w:p>
        </w:tc>
        <w:tc>
          <w:tcPr>
            <w:tcW w:w="992" w:type="dxa"/>
            <w:vMerge w:val="restart"/>
            <w:tcBorders>
              <w:top w:val="single" w:color="auto" w:sz="4" w:space="0"/>
              <w:left w:val="single" w:color="auto" w:sz="4" w:space="0"/>
              <w:right w:val="single" w:color="auto" w:sz="4" w:space="0"/>
            </w:tcBorders>
            <w:shd w:val="clear" w:color="auto" w:fill="auto"/>
            <w:vAlign w:val="center"/>
          </w:tcPr>
          <w:p w14:paraId="6F396D73">
            <w:pPr>
              <w:widowControl/>
              <w:autoSpaceDE w:val="0"/>
              <w:autoSpaceDN w:val="0"/>
              <w:spacing w:line="280" w:lineRule="exact"/>
              <w:jc w:val="left"/>
              <w:rPr>
                <w:rFonts w:ascii="Times New Roman" w:hAnsi="Times New Roman" w:eastAsia="仿宋_GB2312"/>
                <w:color w:val="auto"/>
                <w:szCs w:val="21"/>
              </w:rPr>
            </w:pPr>
            <w:r>
              <w:rPr>
                <w:rFonts w:hint="eastAsia" w:ascii="Times New Roman" w:hAnsi="Times New Roman" w:eastAsia="仿宋_GB2312"/>
                <w:color w:val="auto"/>
                <w:szCs w:val="21"/>
              </w:rPr>
              <w:t>现场检查、书面检查</w:t>
            </w:r>
          </w:p>
        </w:tc>
        <w:tc>
          <w:tcPr>
            <w:tcW w:w="1139" w:type="dxa"/>
            <w:vMerge w:val="restart"/>
            <w:tcBorders>
              <w:top w:val="single" w:color="auto" w:sz="4" w:space="0"/>
              <w:left w:val="single" w:color="auto" w:sz="4" w:space="0"/>
              <w:right w:val="single" w:color="auto" w:sz="4" w:space="0"/>
            </w:tcBorders>
            <w:shd w:val="clear" w:color="auto" w:fill="auto"/>
            <w:vAlign w:val="center"/>
          </w:tcPr>
          <w:p w14:paraId="2FBAD73D">
            <w:pPr>
              <w:widowControl/>
              <w:autoSpaceDE w:val="0"/>
              <w:autoSpaceDN w:val="0"/>
              <w:spacing w:line="280" w:lineRule="exact"/>
              <w:jc w:val="center"/>
              <w:rPr>
                <w:rFonts w:hint="eastAsia" w:ascii="Times New Roman" w:hAnsi="Times New Roman" w:eastAsia="仿宋_GB2312"/>
                <w:color w:val="auto"/>
                <w:szCs w:val="21"/>
                <w:lang w:val="en-US" w:eastAsia="zh-CN"/>
              </w:rPr>
            </w:pPr>
            <w:r>
              <w:rPr>
                <w:rFonts w:hint="eastAsia" w:ascii="Times New Roman" w:hAnsi="Times New Roman" w:eastAsia="仿宋_GB2312"/>
                <w:color w:val="auto"/>
                <w:szCs w:val="21"/>
                <w:lang w:val="en-US" w:eastAsia="zh-CN"/>
              </w:rPr>
              <w:t>每半年</w:t>
            </w:r>
          </w:p>
          <w:p w14:paraId="49304B1D">
            <w:pPr>
              <w:widowControl/>
              <w:autoSpaceDE w:val="0"/>
              <w:autoSpaceDN w:val="0"/>
              <w:spacing w:line="280" w:lineRule="exact"/>
              <w:jc w:val="center"/>
              <w:rPr>
                <w:rFonts w:hint="default" w:ascii="Times New Roman" w:hAnsi="Times New Roman" w:eastAsia="仿宋_GB2312"/>
                <w:color w:val="auto"/>
                <w:szCs w:val="21"/>
                <w:lang w:val="en-US" w:eastAsia="zh-CN"/>
              </w:rPr>
            </w:pPr>
            <w:r>
              <w:rPr>
                <w:rFonts w:hint="eastAsia" w:ascii="Times New Roman" w:hAnsi="Times New Roman" w:eastAsia="仿宋_GB2312"/>
                <w:color w:val="auto"/>
                <w:szCs w:val="21"/>
                <w:lang w:val="en-US" w:eastAsia="zh-CN"/>
              </w:rPr>
              <w:t>1次</w:t>
            </w:r>
          </w:p>
        </w:tc>
        <w:tc>
          <w:tcPr>
            <w:tcW w:w="1491" w:type="dxa"/>
            <w:tcBorders>
              <w:top w:val="single" w:color="auto" w:sz="4" w:space="0"/>
              <w:left w:val="single" w:color="auto" w:sz="4" w:space="0"/>
              <w:bottom w:val="single" w:color="auto" w:sz="4" w:space="0"/>
              <w:right w:val="single" w:color="auto" w:sz="4" w:space="0"/>
            </w:tcBorders>
            <w:shd w:val="clear" w:color="auto" w:fill="auto"/>
            <w:vAlign w:val="center"/>
          </w:tcPr>
          <w:p w14:paraId="60BC9590">
            <w:pPr>
              <w:widowControl/>
              <w:autoSpaceDE w:val="0"/>
              <w:autoSpaceDN w:val="0"/>
              <w:spacing w:line="280" w:lineRule="exact"/>
              <w:jc w:val="center"/>
              <w:rPr>
                <w:rFonts w:ascii="Times New Roman" w:hAnsi="Times New Roman" w:eastAsia="仿宋_GB2312"/>
                <w:color w:val="auto"/>
                <w:szCs w:val="21"/>
              </w:rPr>
            </w:pPr>
            <w:r>
              <w:rPr>
                <w:rFonts w:hint="eastAsia" w:ascii="Times New Roman" w:hAnsi="Times New Roman" w:eastAsia="仿宋_GB2312"/>
                <w:color w:val="auto"/>
                <w:szCs w:val="21"/>
              </w:rPr>
              <w:t>320217266000</w:t>
            </w:r>
          </w:p>
        </w:tc>
        <w:tc>
          <w:tcPr>
            <w:tcW w:w="1481" w:type="dxa"/>
            <w:tcBorders>
              <w:top w:val="single" w:color="auto" w:sz="4" w:space="0"/>
              <w:left w:val="single" w:color="auto" w:sz="4" w:space="0"/>
              <w:bottom w:val="single" w:color="auto" w:sz="4" w:space="0"/>
              <w:right w:val="single" w:color="auto" w:sz="4" w:space="0"/>
            </w:tcBorders>
            <w:shd w:val="clear" w:color="auto" w:fill="auto"/>
            <w:vAlign w:val="center"/>
          </w:tcPr>
          <w:p w14:paraId="1BEC5557">
            <w:pPr>
              <w:widowControl/>
              <w:autoSpaceDE w:val="0"/>
              <w:autoSpaceDN w:val="0"/>
              <w:spacing w:line="280" w:lineRule="exact"/>
              <w:rPr>
                <w:rFonts w:ascii="Times New Roman" w:hAnsi="Times New Roman" w:eastAsia="仿宋_GB2312"/>
                <w:color w:val="auto"/>
                <w:szCs w:val="21"/>
              </w:rPr>
            </w:pPr>
            <w:r>
              <w:rPr>
                <w:rFonts w:hint="eastAsia" w:ascii="Times New Roman" w:hAnsi="Times New Roman" w:eastAsia="仿宋_GB2312"/>
                <w:color w:val="auto"/>
                <w:szCs w:val="21"/>
              </w:rPr>
              <w:t>对建筑施工企业伪造、变造、倒卖、出租、出借或者以其他形式非法转让建筑业企业资质证书的处罚</w:t>
            </w:r>
          </w:p>
        </w:tc>
        <w:tc>
          <w:tcPr>
            <w:tcW w:w="622" w:type="dxa"/>
            <w:tcBorders>
              <w:top w:val="single" w:color="auto" w:sz="4" w:space="0"/>
              <w:left w:val="single" w:color="auto" w:sz="4" w:space="0"/>
              <w:right w:val="single" w:color="auto" w:sz="4" w:space="0"/>
            </w:tcBorders>
            <w:shd w:val="clear" w:color="auto" w:fill="auto"/>
            <w:vAlign w:val="center"/>
          </w:tcPr>
          <w:p w14:paraId="72AF6E8E">
            <w:pPr>
              <w:spacing w:line="280" w:lineRule="exact"/>
              <w:jc w:val="center"/>
              <w:rPr>
                <w:rFonts w:ascii="Times New Roman" w:hAnsi="Times New Roman" w:eastAsia="仿宋_GB2312"/>
                <w:color w:val="auto"/>
                <w:kern w:val="0"/>
                <w:szCs w:val="21"/>
              </w:rPr>
            </w:pPr>
          </w:p>
        </w:tc>
      </w:tr>
      <w:tr w14:paraId="13CE6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8" w:hRule="atLeast"/>
          <w:jc w:val="center"/>
        </w:trPr>
        <w:tc>
          <w:tcPr>
            <w:tcW w:w="536" w:type="dxa"/>
            <w:vMerge w:val="continue"/>
            <w:tcBorders>
              <w:left w:val="single" w:color="auto" w:sz="4" w:space="0"/>
              <w:right w:val="single" w:color="auto" w:sz="4" w:space="0"/>
            </w:tcBorders>
            <w:shd w:val="clear" w:color="auto" w:fill="auto"/>
            <w:vAlign w:val="center"/>
          </w:tcPr>
          <w:p w14:paraId="3B9F4295">
            <w:pPr>
              <w:widowControl/>
              <w:autoSpaceDE w:val="0"/>
              <w:autoSpaceDN w:val="0"/>
              <w:spacing w:line="280" w:lineRule="exact"/>
              <w:jc w:val="left"/>
              <w:rPr>
                <w:rFonts w:ascii="Times New Roman" w:hAnsi="Times New Roman" w:eastAsia="仿宋_GB2312"/>
                <w:color w:val="auto"/>
                <w:szCs w:val="21"/>
              </w:rPr>
            </w:pPr>
          </w:p>
        </w:tc>
        <w:tc>
          <w:tcPr>
            <w:tcW w:w="1324" w:type="dxa"/>
            <w:vMerge w:val="continue"/>
            <w:tcBorders>
              <w:left w:val="single" w:color="auto" w:sz="4" w:space="0"/>
              <w:right w:val="single" w:color="auto" w:sz="4" w:space="0"/>
            </w:tcBorders>
            <w:shd w:val="clear" w:color="auto" w:fill="auto"/>
            <w:vAlign w:val="center"/>
          </w:tcPr>
          <w:p w14:paraId="0E4AA4DC">
            <w:pPr>
              <w:widowControl/>
              <w:autoSpaceDE w:val="0"/>
              <w:autoSpaceDN w:val="0"/>
              <w:spacing w:line="280" w:lineRule="exact"/>
              <w:jc w:val="left"/>
              <w:rPr>
                <w:rFonts w:ascii="Times New Roman" w:hAnsi="Times New Roman" w:eastAsia="仿宋_GB2312"/>
                <w:color w:val="auto"/>
                <w:szCs w:val="21"/>
              </w:rPr>
            </w:pPr>
          </w:p>
        </w:tc>
        <w:tc>
          <w:tcPr>
            <w:tcW w:w="794" w:type="dxa"/>
            <w:vMerge w:val="continue"/>
            <w:tcBorders>
              <w:left w:val="single" w:color="auto" w:sz="4" w:space="0"/>
              <w:right w:val="single" w:color="auto" w:sz="4" w:space="0"/>
            </w:tcBorders>
            <w:shd w:val="clear" w:color="auto" w:fill="auto"/>
            <w:vAlign w:val="center"/>
          </w:tcPr>
          <w:p w14:paraId="563867F5">
            <w:pPr>
              <w:widowControl/>
              <w:autoSpaceDE w:val="0"/>
              <w:autoSpaceDN w:val="0"/>
              <w:spacing w:line="280" w:lineRule="exact"/>
              <w:jc w:val="left"/>
              <w:rPr>
                <w:rFonts w:ascii="Times New Roman" w:hAnsi="Times New Roman" w:eastAsia="仿宋_GB2312"/>
                <w:color w:val="auto"/>
                <w:szCs w:val="21"/>
              </w:rPr>
            </w:pPr>
          </w:p>
        </w:tc>
        <w:tc>
          <w:tcPr>
            <w:tcW w:w="872" w:type="dxa"/>
            <w:vMerge w:val="continue"/>
            <w:tcBorders>
              <w:left w:val="single" w:color="auto" w:sz="4" w:space="0"/>
              <w:right w:val="single" w:color="auto" w:sz="4" w:space="0"/>
            </w:tcBorders>
            <w:shd w:val="clear" w:color="auto" w:fill="auto"/>
            <w:vAlign w:val="center"/>
          </w:tcPr>
          <w:p w14:paraId="486A480B">
            <w:pPr>
              <w:widowControl/>
              <w:autoSpaceDE w:val="0"/>
              <w:autoSpaceDN w:val="0"/>
              <w:spacing w:line="280" w:lineRule="exact"/>
              <w:jc w:val="left"/>
              <w:rPr>
                <w:rFonts w:ascii="Times New Roman" w:hAnsi="Times New Roman" w:eastAsia="仿宋_GB2312"/>
                <w:color w:val="auto"/>
                <w:szCs w:val="21"/>
              </w:rPr>
            </w:pPr>
          </w:p>
        </w:tc>
        <w:tc>
          <w:tcPr>
            <w:tcW w:w="869" w:type="dxa"/>
            <w:vMerge w:val="continue"/>
            <w:tcBorders>
              <w:left w:val="single" w:color="auto" w:sz="4" w:space="0"/>
              <w:right w:val="single" w:color="auto" w:sz="4" w:space="0"/>
            </w:tcBorders>
            <w:shd w:val="clear" w:color="auto" w:fill="auto"/>
            <w:vAlign w:val="center"/>
          </w:tcPr>
          <w:p w14:paraId="64D4BA18">
            <w:pPr>
              <w:widowControl/>
              <w:autoSpaceDE w:val="0"/>
              <w:autoSpaceDN w:val="0"/>
              <w:spacing w:line="280" w:lineRule="exact"/>
              <w:jc w:val="left"/>
              <w:rPr>
                <w:rFonts w:ascii="Times New Roman" w:hAnsi="Times New Roman" w:eastAsia="仿宋_GB2312"/>
                <w:color w:val="auto"/>
                <w:szCs w:val="21"/>
              </w:rPr>
            </w:pPr>
          </w:p>
        </w:tc>
        <w:tc>
          <w:tcPr>
            <w:tcW w:w="4962" w:type="dxa"/>
            <w:vMerge w:val="continue"/>
            <w:tcBorders>
              <w:left w:val="single" w:color="auto" w:sz="4" w:space="0"/>
              <w:right w:val="single" w:color="auto" w:sz="4" w:space="0"/>
            </w:tcBorders>
            <w:shd w:val="clear" w:color="auto" w:fill="auto"/>
            <w:vAlign w:val="center"/>
          </w:tcPr>
          <w:p w14:paraId="63EE5F1E">
            <w:pPr>
              <w:autoSpaceDE w:val="0"/>
              <w:autoSpaceDN w:val="0"/>
              <w:spacing w:line="280" w:lineRule="exact"/>
              <w:jc w:val="left"/>
              <w:rPr>
                <w:rFonts w:ascii="Times New Roman" w:hAnsi="Times New Roman" w:eastAsia="仿宋_GB2312"/>
                <w:color w:val="auto"/>
                <w:szCs w:val="21"/>
              </w:rPr>
            </w:pPr>
          </w:p>
        </w:tc>
        <w:tc>
          <w:tcPr>
            <w:tcW w:w="992" w:type="dxa"/>
            <w:vMerge w:val="continue"/>
            <w:tcBorders>
              <w:left w:val="single" w:color="auto" w:sz="4" w:space="0"/>
              <w:right w:val="single" w:color="auto" w:sz="4" w:space="0"/>
            </w:tcBorders>
            <w:shd w:val="clear" w:color="auto" w:fill="auto"/>
            <w:vAlign w:val="center"/>
          </w:tcPr>
          <w:p w14:paraId="35C86B8B">
            <w:pPr>
              <w:widowControl/>
              <w:autoSpaceDE w:val="0"/>
              <w:autoSpaceDN w:val="0"/>
              <w:spacing w:line="280" w:lineRule="exact"/>
              <w:jc w:val="left"/>
              <w:rPr>
                <w:rFonts w:ascii="Times New Roman" w:hAnsi="Times New Roman" w:eastAsia="仿宋_GB2312"/>
                <w:color w:val="auto"/>
                <w:szCs w:val="21"/>
              </w:rPr>
            </w:pPr>
          </w:p>
        </w:tc>
        <w:tc>
          <w:tcPr>
            <w:tcW w:w="1139" w:type="dxa"/>
            <w:vMerge w:val="continue"/>
            <w:tcBorders>
              <w:left w:val="single" w:color="auto" w:sz="4" w:space="0"/>
              <w:right w:val="single" w:color="auto" w:sz="4" w:space="0"/>
            </w:tcBorders>
            <w:shd w:val="clear" w:color="auto" w:fill="auto"/>
            <w:vAlign w:val="center"/>
          </w:tcPr>
          <w:p w14:paraId="6CBEC791">
            <w:pPr>
              <w:widowControl/>
              <w:autoSpaceDE w:val="0"/>
              <w:autoSpaceDN w:val="0"/>
              <w:spacing w:line="280" w:lineRule="exact"/>
              <w:jc w:val="center"/>
              <w:rPr>
                <w:rFonts w:ascii="Times New Roman" w:hAnsi="Times New Roman" w:eastAsia="仿宋_GB2312"/>
                <w:color w:val="auto"/>
                <w:szCs w:val="21"/>
              </w:rPr>
            </w:pPr>
          </w:p>
        </w:tc>
        <w:tc>
          <w:tcPr>
            <w:tcW w:w="1491" w:type="dxa"/>
            <w:tcBorders>
              <w:top w:val="single" w:color="auto" w:sz="4" w:space="0"/>
              <w:left w:val="single" w:color="auto" w:sz="4" w:space="0"/>
              <w:bottom w:val="single" w:color="auto" w:sz="4" w:space="0"/>
              <w:right w:val="single" w:color="auto" w:sz="4" w:space="0"/>
            </w:tcBorders>
            <w:shd w:val="clear" w:color="auto" w:fill="auto"/>
            <w:vAlign w:val="center"/>
          </w:tcPr>
          <w:p w14:paraId="2323DC11">
            <w:pPr>
              <w:widowControl/>
              <w:autoSpaceDE w:val="0"/>
              <w:autoSpaceDN w:val="0"/>
              <w:spacing w:line="280" w:lineRule="exact"/>
              <w:jc w:val="center"/>
              <w:rPr>
                <w:rFonts w:ascii="Times New Roman" w:hAnsi="Times New Roman" w:eastAsia="仿宋_GB2312"/>
                <w:color w:val="auto"/>
                <w:szCs w:val="21"/>
              </w:rPr>
            </w:pPr>
            <w:r>
              <w:rPr>
                <w:rFonts w:hint="eastAsia" w:ascii="Times New Roman" w:hAnsi="Times New Roman" w:eastAsia="仿宋_GB2312"/>
                <w:color w:val="auto"/>
                <w:szCs w:val="21"/>
              </w:rPr>
              <w:t>320217246000</w:t>
            </w:r>
          </w:p>
        </w:tc>
        <w:tc>
          <w:tcPr>
            <w:tcW w:w="1481" w:type="dxa"/>
            <w:tcBorders>
              <w:top w:val="single" w:color="auto" w:sz="4" w:space="0"/>
              <w:left w:val="single" w:color="auto" w:sz="4" w:space="0"/>
              <w:bottom w:val="single" w:color="auto" w:sz="4" w:space="0"/>
              <w:right w:val="single" w:color="auto" w:sz="4" w:space="0"/>
            </w:tcBorders>
            <w:shd w:val="clear" w:color="auto" w:fill="auto"/>
            <w:vAlign w:val="center"/>
          </w:tcPr>
          <w:p w14:paraId="76DFA1D6">
            <w:pPr>
              <w:widowControl/>
              <w:autoSpaceDE w:val="0"/>
              <w:autoSpaceDN w:val="0"/>
              <w:spacing w:line="280" w:lineRule="exact"/>
              <w:rPr>
                <w:rFonts w:ascii="Times New Roman" w:hAnsi="Times New Roman" w:eastAsia="仿宋_GB2312"/>
                <w:color w:val="auto"/>
                <w:szCs w:val="21"/>
              </w:rPr>
            </w:pPr>
            <w:r>
              <w:rPr>
                <w:rFonts w:hint="eastAsia" w:ascii="Times New Roman" w:hAnsi="Times New Roman" w:eastAsia="仿宋_GB2312"/>
                <w:color w:val="auto"/>
                <w:szCs w:val="21"/>
              </w:rPr>
              <w:t>对建筑业企业在接受监督检查时，不如实提供有关材料，或者拒绝、阻碍监督检查的处罚</w:t>
            </w:r>
          </w:p>
        </w:tc>
        <w:tc>
          <w:tcPr>
            <w:tcW w:w="622" w:type="dxa"/>
            <w:tcBorders>
              <w:left w:val="single" w:color="auto" w:sz="4" w:space="0"/>
              <w:right w:val="single" w:color="auto" w:sz="4" w:space="0"/>
            </w:tcBorders>
            <w:shd w:val="clear" w:color="auto" w:fill="auto"/>
            <w:vAlign w:val="center"/>
          </w:tcPr>
          <w:p w14:paraId="56582772">
            <w:pPr>
              <w:spacing w:line="280" w:lineRule="exact"/>
              <w:jc w:val="center"/>
              <w:rPr>
                <w:rFonts w:ascii="Times New Roman" w:hAnsi="Times New Roman" w:eastAsia="仿宋_GB2312"/>
                <w:color w:val="auto"/>
                <w:kern w:val="0"/>
                <w:szCs w:val="21"/>
              </w:rPr>
            </w:pPr>
          </w:p>
        </w:tc>
      </w:tr>
      <w:tr w14:paraId="6A46D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4" w:hRule="atLeast"/>
          <w:jc w:val="center"/>
        </w:trPr>
        <w:tc>
          <w:tcPr>
            <w:tcW w:w="536" w:type="dxa"/>
            <w:vMerge w:val="continue"/>
            <w:tcBorders>
              <w:left w:val="single" w:color="auto" w:sz="4" w:space="0"/>
              <w:bottom w:val="single" w:color="auto" w:sz="4" w:space="0"/>
              <w:right w:val="single" w:color="auto" w:sz="4" w:space="0"/>
            </w:tcBorders>
            <w:shd w:val="clear" w:color="auto" w:fill="auto"/>
            <w:vAlign w:val="center"/>
          </w:tcPr>
          <w:p w14:paraId="54D3C709">
            <w:pPr>
              <w:widowControl/>
              <w:autoSpaceDE w:val="0"/>
              <w:autoSpaceDN w:val="0"/>
              <w:spacing w:line="280" w:lineRule="exact"/>
              <w:jc w:val="left"/>
              <w:rPr>
                <w:rFonts w:ascii="Times New Roman" w:hAnsi="Times New Roman" w:eastAsia="仿宋_GB2312"/>
                <w:color w:val="auto"/>
                <w:szCs w:val="21"/>
              </w:rPr>
            </w:pPr>
          </w:p>
        </w:tc>
        <w:tc>
          <w:tcPr>
            <w:tcW w:w="1324" w:type="dxa"/>
            <w:vMerge w:val="continue"/>
            <w:tcBorders>
              <w:left w:val="single" w:color="auto" w:sz="4" w:space="0"/>
              <w:bottom w:val="single" w:color="auto" w:sz="4" w:space="0"/>
              <w:right w:val="single" w:color="auto" w:sz="4" w:space="0"/>
            </w:tcBorders>
            <w:shd w:val="clear" w:color="auto" w:fill="auto"/>
            <w:vAlign w:val="center"/>
          </w:tcPr>
          <w:p w14:paraId="3665041F">
            <w:pPr>
              <w:widowControl/>
              <w:autoSpaceDE w:val="0"/>
              <w:autoSpaceDN w:val="0"/>
              <w:spacing w:line="280" w:lineRule="exact"/>
              <w:jc w:val="left"/>
              <w:rPr>
                <w:rFonts w:ascii="Times New Roman" w:hAnsi="Times New Roman" w:eastAsia="仿宋_GB2312"/>
                <w:color w:val="auto"/>
                <w:szCs w:val="21"/>
              </w:rPr>
            </w:pPr>
          </w:p>
        </w:tc>
        <w:tc>
          <w:tcPr>
            <w:tcW w:w="794" w:type="dxa"/>
            <w:vMerge w:val="continue"/>
            <w:tcBorders>
              <w:left w:val="single" w:color="auto" w:sz="4" w:space="0"/>
              <w:bottom w:val="single" w:color="auto" w:sz="4" w:space="0"/>
              <w:right w:val="single" w:color="auto" w:sz="4" w:space="0"/>
            </w:tcBorders>
            <w:shd w:val="clear" w:color="auto" w:fill="auto"/>
            <w:vAlign w:val="center"/>
          </w:tcPr>
          <w:p w14:paraId="2ED55E1E">
            <w:pPr>
              <w:widowControl/>
              <w:autoSpaceDE w:val="0"/>
              <w:autoSpaceDN w:val="0"/>
              <w:spacing w:line="280" w:lineRule="exact"/>
              <w:jc w:val="left"/>
              <w:rPr>
                <w:rFonts w:ascii="Times New Roman" w:hAnsi="Times New Roman" w:eastAsia="仿宋_GB2312"/>
                <w:color w:val="auto"/>
                <w:szCs w:val="21"/>
              </w:rPr>
            </w:pPr>
          </w:p>
        </w:tc>
        <w:tc>
          <w:tcPr>
            <w:tcW w:w="872" w:type="dxa"/>
            <w:vMerge w:val="continue"/>
            <w:tcBorders>
              <w:left w:val="single" w:color="auto" w:sz="4" w:space="0"/>
              <w:bottom w:val="single" w:color="auto" w:sz="4" w:space="0"/>
              <w:right w:val="single" w:color="auto" w:sz="4" w:space="0"/>
            </w:tcBorders>
            <w:shd w:val="clear" w:color="auto" w:fill="auto"/>
            <w:vAlign w:val="center"/>
          </w:tcPr>
          <w:p w14:paraId="1235D77F">
            <w:pPr>
              <w:widowControl/>
              <w:autoSpaceDE w:val="0"/>
              <w:autoSpaceDN w:val="0"/>
              <w:spacing w:line="280" w:lineRule="exact"/>
              <w:jc w:val="left"/>
              <w:rPr>
                <w:rFonts w:ascii="Times New Roman" w:hAnsi="Times New Roman" w:eastAsia="仿宋_GB2312"/>
                <w:color w:val="auto"/>
                <w:szCs w:val="21"/>
              </w:rPr>
            </w:pPr>
          </w:p>
        </w:tc>
        <w:tc>
          <w:tcPr>
            <w:tcW w:w="869" w:type="dxa"/>
            <w:vMerge w:val="continue"/>
            <w:tcBorders>
              <w:left w:val="single" w:color="auto" w:sz="4" w:space="0"/>
              <w:bottom w:val="single" w:color="auto" w:sz="4" w:space="0"/>
              <w:right w:val="single" w:color="auto" w:sz="4" w:space="0"/>
            </w:tcBorders>
            <w:shd w:val="clear" w:color="auto" w:fill="auto"/>
            <w:vAlign w:val="center"/>
          </w:tcPr>
          <w:p w14:paraId="2412318D">
            <w:pPr>
              <w:widowControl/>
              <w:autoSpaceDE w:val="0"/>
              <w:autoSpaceDN w:val="0"/>
              <w:spacing w:line="280" w:lineRule="exact"/>
              <w:jc w:val="left"/>
              <w:rPr>
                <w:rFonts w:ascii="Times New Roman" w:hAnsi="Times New Roman" w:eastAsia="仿宋_GB2312"/>
                <w:color w:val="auto"/>
                <w:szCs w:val="21"/>
              </w:rPr>
            </w:pPr>
          </w:p>
        </w:tc>
        <w:tc>
          <w:tcPr>
            <w:tcW w:w="4962" w:type="dxa"/>
            <w:vMerge w:val="continue"/>
            <w:tcBorders>
              <w:left w:val="single" w:color="auto" w:sz="4" w:space="0"/>
              <w:bottom w:val="single" w:color="auto" w:sz="4" w:space="0"/>
              <w:right w:val="single" w:color="auto" w:sz="4" w:space="0"/>
            </w:tcBorders>
            <w:shd w:val="clear" w:color="auto" w:fill="auto"/>
            <w:vAlign w:val="center"/>
          </w:tcPr>
          <w:p w14:paraId="6E0BB3D9">
            <w:pPr>
              <w:widowControl/>
              <w:autoSpaceDE w:val="0"/>
              <w:autoSpaceDN w:val="0"/>
              <w:spacing w:line="280" w:lineRule="exact"/>
              <w:jc w:val="left"/>
              <w:rPr>
                <w:rFonts w:ascii="Times New Roman" w:hAnsi="Times New Roman" w:eastAsia="仿宋_GB2312"/>
                <w:color w:val="auto"/>
                <w:szCs w:val="21"/>
              </w:rPr>
            </w:pPr>
          </w:p>
        </w:tc>
        <w:tc>
          <w:tcPr>
            <w:tcW w:w="992" w:type="dxa"/>
            <w:vMerge w:val="continue"/>
            <w:tcBorders>
              <w:left w:val="single" w:color="auto" w:sz="4" w:space="0"/>
              <w:bottom w:val="single" w:color="auto" w:sz="4" w:space="0"/>
              <w:right w:val="single" w:color="auto" w:sz="4" w:space="0"/>
            </w:tcBorders>
            <w:shd w:val="clear" w:color="auto" w:fill="auto"/>
            <w:vAlign w:val="center"/>
          </w:tcPr>
          <w:p w14:paraId="4DD76BAA">
            <w:pPr>
              <w:widowControl/>
              <w:autoSpaceDE w:val="0"/>
              <w:autoSpaceDN w:val="0"/>
              <w:spacing w:line="280" w:lineRule="exact"/>
              <w:jc w:val="left"/>
              <w:rPr>
                <w:rFonts w:ascii="Times New Roman" w:hAnsi="Times New Roman" w:eastAsia="仿宋_GB2312"/>
                <w:color w:val="auto"/>
                <w:szCs w:val="21"/>
              </w:rPr>
            </w:pPr>
          </w:p>
        </w:tc>
        <w:tc>
          <w:tcPr>
            <w:tcW w:w="1139" w:type="dxa"/>
            <w:vMerge w:val="continue"/>
            <w:tcBorders>
              <w:left w:val="single" w:color="auto" w:sz="4" w:space="0"/>
              <w:bottom w:val="single" w:color="auto" w:sz="4" w:space="0"/>
              <w:right w:val="single" w:color="auto" w:sz="4" w:space="0"/>
            </w:tcBorders>
            <w:shd w:val="clear" w:color="auto" w:fill="auto"/>
            <w:vAlign w:val="center"/>
          </w:tcPr>
          <w:p w14:paraId="3DFCA11C">
            <w:pPr>
              <w:widowControl/>
              <w:autoSpaceDE w:val="0"/>
              <w:autoSpaceDN w:val="0"/>
              <w:spacing w:line="280" w:lineRule="exact"/>
              <w:jc w:val="center"/>
              <w:rPr>
                <w:rFonts w:ascii="Times New Roman" w:hAnsi="Times New Roman" w:eastAsia="仿宋_GB2312"/>
                <w:color w:val="auto"/>
                <w:szCs w:val="21"/>
              </w:rPr>
            </w:pPr>
          </w:p>
        </w:tc>
        <w:tc>
          <w:tcPr>
            <w:tcW w:w="1491" w:type="dxa"/>
            <w:tcBorders>
              <w:top w:val="single" w:color="auto" w:sz="4" w:space="0"/>
              <w:left w:val="single" w:color="auto" w:sz="4" w:space="0"/>
              <w:bottom w:val="single" w:color="auto" w:sz="4" w:space="0"/>
              <w:right w:val="single" w:color="auto" w:sz="4" w:space="0"/>
            </w:tcBorders>
            <w:shd w:val="clear" w:color="auto" w:fill="auto"/>
            <w:vAlign w:val="center"/>
          </w:tcPr>
          <w:p w14:paraId="2C3D2574">
            <w:pPr>
              <w:widowControl/>
              <w:autoSpaceDE w:val="0"/>
              <w:autoSpaceDN w:val="0"/>
              <w:spacing w:line="280" w:lineRule="exact"/>
              <w:jc w:val="center"/>
              <w:rPr>
                <w:rFonts w:ascii="Times New Roman" w:hAnsi="Times New Roman" w:eastAsia="仿宋_GB2312"/>
                <w:color w:val="auto"/>
                <w:szCs w:val="21"/>
              </w:rPr>
            </w:pPr>
            <w:r>
              <w:rPr>
                <w:rFonts w:hint="eastAsia" w:ascii="Times New Roman" w:hAnsi="Times New Roman" w:eastAsia="仿宋_GB2312"/>
                <w:color w:val="auto"/>
                <w:szCs w:val="21"/>
              </w:rPr>
              <w:t>320217199000</w:t>
            </w:r>
          </w:p>
        </w:tc>
        <w:tc>
          <w:tcPr>
            <w:tcW w:w="1481" w:type="dxa"/>
            <w:tcBorders>
              <w:top w:val="single" w:color="auto" w:sz="4" w:space="0"/>
              <w:left w:val="single" w:color="auto" w:sz="4" w:space="0"/>
              <w:bottom w:val="single" w:color="auto" w:sz="4" w:space="0"/>
              <w:right w:val="single" w:color="auto" w:sz="4" w:space="0"/>
            </w:tcBorders>
            <w:shd w:val="clear" w:color="auto" w:fill="auto"/>
            <w:vAlign w:val="center"/>
          </w:tcPr>
          <w:p w14:paraId="70E51D55">
            <w:pPr>
              <w:widowControl/>
              <w:autoSpaceDE w:val="0"/>
              <w:autoSpaceDN w:val="0"/>
              <w:spacing w:line="280" w:lineRule="exact"/>
              <w:rPr>
                <w:rFonts w:ascii="Times New Roman" w:hAnsi="Times New Roman" w:eastAsia="仿宋_GB2312"/>
                <w:color w:val="auto"/>
                <w:szCs w:val="21"/>
              </w:rPr>
            </w:pPr>
            <w:r>
              <w:rPr>
                <w:rFonts w:hint="eastAsia" w:ascii="Times New Roman" w:hAnsi="Times New Roman" w:eastAsia="仿宋_GB2312"/>
                <w:color w:val="auto"/>
                <w:szCs w:val="21"/>
              </w:rPr>
              <w:t>对建筑业企业以其他企业的名义承揽工程的处罚</w:t>
            </w:r>
          </w:p>
        </w:tc>
        <w:tc>
          <w:tcPr>
            <w:tcW w:w="622" w:type="dxa"/>
            <w:tcBorders>
              <w:left w:val="single" w:color="auto" w:sz="4" w:space="0"/>
              <w:bottom w:val="single" w:color="auto" w:sz="4" w:space="0"/>
              <w:right w:val="single" w:color="auto" w:sz="4" w:space="0"/>
            </w:tcBorders>
            <w:shd w:val="clear" w:color="auto" w:fill="auto"/>
            <w:vAlign w:val="center"/>
          </w:tcPr>
          <w:p w14:paraId="1C3F4C8C">
            <w:pPr>
              <w:spacing w:line="280" w:lineRule="exact"/>
              <w:jc w:val="center"/>
              <w:rPr>
                <w:rFonts w:ascii="Times New Roman" w:hAnsi="Times New Roman" w:eastAsia="仿宋_GB2312"/>
                <w:color w:val="auto"/>
                <w:kern w:val="0"/>
                <w:szCs w:val="21"/>
              </w:rPr>
            </w:pPr>
          </w:p>
        </w:tc>
      </w:tr>
      <w:tr w14:paraId="08F2E7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6" w:type="dxa"/>
            <w:tcBorders>
              <w:top w:val="single" w:color="auto" w:sz="4" w:space="0"/>
              <w:left w:val="single" w:color="auto" w:sz="4" w:space="0"/>
              <w:bottom w:val="single" w:color="auto" w:sz="4" w:space="0"/>
              <w:right w:val="single" w:color="auto" w:sz="4" w:space="0"/>
            </w:tcBorders>
            <w:shd w:val="clear" w:color="auto" w:fill="auto"/>
            <w:vAlign w:val="center"/>
          </w:tcPr>
          <w:p w14:paraId="58260253">
            <w:pPr>
              <w:widowControl/>
              <w:autoSpaceDE w:val="0"/>
              <w:autoSpaceDN w:val="0"/>
              <w:spacing w:line="280" w:lineRule="exact"/>
              <w:jc w:val="center"/>
              <w:rPr>
                <w:rFonts w:ascii="Times New Roman" w:hAnsi="Times New Roman" w:eastAsia="仿宋_GB2312"/>
                <w:color w:val="auto"/>
                <w:szCs w:val="21"/>
              </w:rPr>
            </w:pPr>
            <w:r>
              <w:rPr>
                <w:rFonts w:hint="eastAsia" w:ascii="Times New Roman" w:hAnsi="Times New Roman" w:eastAsia="仿宋_GB2312"/>
                <w:color w:val="auto"/>
                <w:szCs w:val="21"/>
              </w:rPr>
              <w:t>5</w:t>
            </w:r>
          </w:p>
        </w:tc>
        <w:tc>
          <w:tcPr>
            <w:tcW w:w="1324" w:type="dxa"/>
            <w:tcBorders>
              <w:top w:val="single" w:color="auto" w:sz="4" w:space="0"/>
              <w:left w:val="single" w:color="auto" w:sz="4" w:space="0"/>
              <w:bottom w:val="single" w:color="auto" w:sz="4" w:space="0"/>
              <w:right w:val="single" w:color="auto" w:sz="4" w:space="0"/>
            </w:tcBorders>
            <w:shd w:val="clear" w:color="auto" w:fill="auto"/>
            <w:vAlign w:val="center"/>
          </w:tcPr>
          <w:p w14:paraId="1AA78156">
            <w:pPr>
              <w:widowControl/>
              <w:autoSpaceDE w:val="0"/>
              <w:autoSpaceDN w:val="0"/>
              <w:spacing w:line="280" w:lineRule="exact"/>
              <w:jc w:val="left"/>
              <w:rPr>
                <w:rFonts w:ascii="Times New Roman" w:hAnsi="Times New Roman" w:eastAsia="仿宋_GB2312"/>
                <w:color w:val="auto"/>
                <w:szCs w:val="21"/>
              </w:rPr>
            </w:pPr>
            <w:r>
              <w:rPr>
                <w:rFonts w:hint="eastAsia" w:ascii="Times New Roman" w:hAnsi="Times New Roman" w:eastAsia="仿宋_GB2312"/>
                <w:color w:val="auto"/>
                <w:szCs w:val="21"/>
              </w:rPr>
              <w:t>建筑劳务项目现场检查</w:t>
            </w:r>
          </w:p>
        </w:tc>
        <w:tc>
          <w:tcPr>
            <w:tcW w:w="794" w:type="dxa"/>
            <w:tcBorders>
              <w:top w:val="single" w:color="auto" w:sz="4" w:space="0"/>
              <w:left w:val="single" w:color="auto" w:sz="4" w:space="0"/>
              <w:bottom w:val="single" w:color="auto" w:sz="4" w:space="0"/>
              <w:right w:val="single" w:color="auto" w:sz="4" w:space="0"/>
            </w:tcBorders>
            <w:shd w:val="clear" w:color="auto" w:fill="auto"/>
            <w:vAlign w:val="center"/>
          </w:tcPr>
          <w:p w14:paraId="5593658F">
            <w:pPr>
              <w:widowControl/>
              <w:autoSpaceDE w:val="0"/>
              <w:autoSpaceDN w:val="0"/>
              <w:spacing w:line="280" w:lineRule="exact"/>
              <w:jc w:val="center"/>
              <w:rPr>
                <w:rFonts w:ascii="Times New Roman" w:hAnsi="Times New Roman" w:eastAsia="仿宋_GB2312"/>
                <w:color w:val="auto"/>
                <w:szCs w:val="21"/>
              </w:rPr>
            </w:pPr>
            <w:r>
              <w:rPr>
                <w:rFonts w:hint="eastAsia" w:ascii="Times New Roman" w:hAnsi="Times New Roman" w:eastAsia="仿宋_GB2312"/>
                <w:color w:val="auto"/>
                <w:szCs w:val="21"/>
              </w:rPr>
              <w:t>苏州市相城区住房和城乡建设局</w:t>
            </w:r>
          </w:p>
        </w:tc>
        <w:tc>
          <w:tcPr>
            <w:tcW w:w="872" w:type="dxa"/>
            <w:tcBorders>
              <w:top w:val="single" w:color="auto" w:sz="4" w:space="0"/>
              <w:left w:val="single" w:color="auto" w:sz="4" w:space="0"/>
              <w:bottom w:val="single" w:color="auto" w:sz="4" w:space="0"/>
              <w:right w:val="single" w:color="auto" w:sz="4" w:space="0"/>
            </w:tcBorders>
            <w:shd w:val="clear" w:color="auto" w:fill="auto"/>
            <w:vAlign w:val="center"/>
          </w:tcPr>
          <w:p w14:paraId="0EB7CA12">
            <w:pPr>
              <w:widowControl/>
              <w:autoSpaceDE w:val="0"/>
              <w:autoSpaceDN w:val="0"/>
              <w:spacing w:line="280" w:lineRule="exact"/>
              <w:rPr>
                <w:rFonts w:ascii="Times New Roman" w:hAnsi="Times New Roman" w:eastAsia="仿宋_GB2312"/>
                <w:color w:val="auto"/>
                <w:szCs w:val="21"/>
              </w:rPr>
            </w:pPr>
            <w:r>
              <w:rPr>
                <w:rFonts w:hint="eastAsia" w:ascii="Times New Roman" w:hAnsi="Times New Roman" w:eastAsia="仿宋_GB2312"/>
                <w:color w:val="auto"/>
                <w:szCs w:val="21"/>
              </w:rPr>
              <w:t>相城区建筑管理服务中心</w:t>
            </w:r>
          </w:p>
        </w:tc>
        <w:tc>
          <w:tcPr>
            <w:tcW w:w="869" w:type="dxa"/>
            <w:tcBorders>
              <w:top w:val="single" w:color="auto" w:sz="4" w:space="0"/>
              <w:left w:val="single" w:color="auto" w:sz="4" w:space="0"/>
              <w:bottom w:val="single" w:color="auto" w:sz="4" w:space="0"/>
              <w:right w:val="single" w:color="auto" w:sz="4" w:space="0"/>
            </w:tcBorders>
            <w:shd w:val="clear" w:color="auto" w:fill="auto"/>
            <w:vAlign w:val="center"/>
          </w:tcPr>
          <w:p w14:paraId="6A0CC413">
            <w:pPr>
              <w:widowControl/>
              <w:autoSpaceDE w:val="0"/>
              <w:autoSpaceDN w:val="0"/>
              <w:spacing w:line="280" w:lineRule="exact"/>
              <w:jc w:val="left"/>
              <w:rPr>
                <w:rFonts w:ascii="Times New Roman" w:hAnsi="Times New Roman" w:eastAsia="仿宋_GB2312"/>
                <w:color w:val="auto"/>
                <w:szCs w:val="21"/>
              </w:rPr>
            </w:pPr>
            <w:r>
              <w:rPr>
                <w:rFonts w:hint="eastAsia" w:ascii="Times New Roman" w:hAnsi="Times New Roman" w:eastAsia="仿宋_GB2312"/>
                <w:color w:val="auto"/>
                <w:szCs w:val="21"/>
              </w:rPr>
              <w:t>建筑劳务企业</w:t>
            </w:r>
          </w:p>
        </w:tc>
        <w:tc>
          <w:tcPr>
            <w:tcW w:w="4962" w:type="dxa"/>
            <w:tcBorders>
              <w:top w:val="single" w:color="auto" w:sz="4" w:space="0"/>
              <w:left w:val="single" w:color="auto" w:sz="4" w:space="0"/>
              <w:bottom w:val="single" w:color="auto" w:sz="4" w:space="0"/>
              <w:right w:val="single" w:color="auto" w:sz="4" w:space="0"/>
            </w:tcBorders>
            <w:shd w:val="clear" w:color="auto" w:fill="auto"/>
            <w:vAlign w:val="center"/>
          </w:tcPr>
          <w:p w14:paraId="76857021">
            <w:pPr>
              <w:widowControl/>
              <w:autoSpaceDE w:val="0"/>
              <w:autoSpaceDN w:val="0"/>
              <w:spacing w:line="280" w:lineRule="exact"/>
              <w:jc w:val="left"/>
              <w:rPr>
                <w:rFonts w:ascii="Times New Roman" w:hAnsi="Times New Roman" w:eastAsia="仿宋_GB2312"/>
                <w:color w:val="auto"/>
                <w:szCs w:val="21"/>
              </w:rPr>
            </w:pPr>
            <w:r>
              <w:rPr>
                <w:rFonts w:hint="eastAsia" w:ascii="Times New Roman" w:hAnsi="Times New Roman" w:eastAsia="仿宋_GB2312"/>
                <w:color w:val="auto"/>
                <w:szCs w:val="21"/>
              </w:rPr>
              <w:t>下列措施：</w:t>
            </w:r>
          </w:p>
          <w:p w14:paraId="6A99CFE2">
            <w:pPr>
              <w:widowControl/>
              <w:autoSpaceDE w:val="0"/>
              <w:autoSpaceDN w:val="0"/>
              <w:spacing w:line="280" w:lineRule="exact"/>
              <w:ind w:firstLine="210" w:firstLineChars="100"/>
              <w:jc w:val="left"/>
              <w:rPr>
                <w:rFonts w:ascii="Times New Roman" w:hAnsi="Times New Roman" w:eastAsia="仿宋_GB2312"/>
                <w:color w:val="auto"/>
                <w:szCs w:val="21"/>
              </w:rPr>
            </w:pPr>
            <w:r>
              <w:rPr>
                <w:rFonts w:hint="eastAsia" w:ascii="Times New Roman" w:hAnsi="Times New Roman" w:eastAsia="仿宋_GB2312"/>
                <w:color w:val="auto"/>
                <w:szCs w:val="21"/>
              </w:rPr>
              <w:t>（一）要求被检查企业提供建筑业企业资质证书、企业有关人员的注册执业证书、职称证书、岗位证书和考核或者培训合格证书，有关施工业务的文档，有关质量管理、安全生产管理、合同管理、档案管理、财务管理等企业内部管理制度的文件；</w:t>
            </w:r>
          </w:p>
          <w:p w14:paraId="54660F4D">
            <w:pPr>
              <w:widowControl/>
              <w:autoSpaceDE w:val="0"/>
              <w:autoSpaceDN w:val="0"/>
              <w:spacing w:line="280" w:lineRule="exact"/>
              <w:jc w:val="left"/>
              <w:rPr>
                <w:rFonts w:hint="eastAsia" w:ascii="Times New Roman" w:hAnsi="Times New Roman" w:eastAsia="仿宋_GB2312"/>
                <w:color w:val="auto"/>
                <w:szCs w:val="21"/>
                <w:lang w:eastAsia="zh-CN"/>
              </w:rPr>
            </w:pPr>
            <w:r>
              <w:rPr>
                <w:rFonts w:hint="eastAsia" w:ascii="Times New Roman" w:hAnsi="Times New Roman" w:eastAsia="仿宋_GB2312"/>
                <w:color w:val="auto"/>
                <w:szCs w:val="21"/>
              </w:rPr>
              <w:t xml:space="preserve">   （二）进入被检查企业进行检查，查阅相关资料；</w:t>
            </w:r>
          </w:p>
          <w:p w14:paraId="6FA674ED">
            <w:pPr>
              <w:widowControl/>
              <w:autoSpaceDE w:val="0"/>
              <w:autoSpaceDN w:val="0"/>
              <w:spacing w:line="280" w:lineRule="exact"/>
              <w:jc w:val="left"/>
              <w:rPr>
                <w:rFonts w:ascii="Times New Roman" w:hAnsi="Times New Roman" w:eastAsia="仿宋_GB2312"/>
                <w:color w:val="auto"/>
                <w:szCs w:val="21"/>
              </w:rPr>
            </w:pPr>
            <w:r>
              <w:rPr>
                <w:rFonts w:hint="eastAsia" w:ascii="Times New Roman" w:hAnsi="Times New Roman" w:eastAsia="仿宋_GB2312"/>
                <w:color w:val="auto"/>
                <w:szCs w:val="21"/>
              </w:rPr>
              <w:t xml:space="preserve">   （三）纠正违反有关法律、法规和本规定及有关规范和标准的行为。</w:t>
            </w:r>
          </w:p>
          <w:p w14:paraId="21F9507C">
            <w:pPr>
              <w:widowControl/>
              <w:autoSpaceDE w:val="0"/>
              <w:autoSpaceDN w:val="0"/>
              <w:spacing w:line="280" w:lineRule="exact"/>
              <w:ind w:firstLine="420" w:firstLineChars="200"/>
              <w:jc w:val="left"/>
              <w:rPr>
                <w:rFonts w:ascii="Times New Roman" w:hAnsi="Times New Roman" w:eastAsia="仿宋_GB2312"/>
                <w:color w:val="auto"/>
                <w:szCs w:val="21"/>
              </w:rPr>
            </w:pPr>
            <w:r>
              <w:rPr>
                <w:rFonts w:hint="eastAsia" w:ascii="Times New Roman" w:hAnsi="Times New Roman" w:eastAsia="仿宋_GB2312"/>
                <w:color w:val="auto"/>
                <w:szCs w:val="21"/>
              </w:rPr>
              <w:t>监督检查人员应当将监督检查情况和处理结果予以记录，由监督检查人员和被检查企业的有关人员签字确认后归档。</w:t>
            </w:r>
          </w:p>
        </w:tc>
        <w:tc>
          <w:tcPr>
            <w:tcW w:w="992" w:type="dxa"/>
            <w:tcBorders>
              <w:top w:val="single" w:color="auto" w:sz="4" w:space="0"/>
              <w:left w:val="single" w:color="auto" w:sz="4" w:space="0"/>
              <w:bottom w:val="single" w:color="auto" w:sz="4" w:space="0"/>
              <w:right w:val="single" w:color="auto" w:sz="4" w:space="0"/>
            </w:tcBorders>
            <w:shd w:val="clear" w:color="auto" w:fill="auto"/>
            <w:vAlign w:val="center"/>
          </w:tcPr>
          <w:p w14:paraId="4707D30B">
            <w:pPr>
              <w:widowControl/>
              <w:autoSpaceDE w:val="0"/>
              <w:autoSpaceDN w:val="0"/>
              <w:spacing w:line="280" w:lineRule="exact"/>
              <w:jc w:val="left"/>
              <w:rPr>
                <w:rFonts w:ascii="Times New Roman" w:hAnsi="Times New Roman" w:eastAsia="仿宋_GB2312"/>
                <w:color w:val="auto"/>
                <w:szCs w:val="21"/>
              </w:rPr>
            </w:pPr>
            <w:r>
              <w:rPr>
                <w:rFonts w:hint="eastAsia" w:ascii="Times New Roman" w:hAnsi="Times New Roman" w:eastAsia="仿宋_GB2312"/>
                <w:color w:val="auto"/>
                <w:szCs w:val="21"/>
              </w:rPr>
              <w:t>现场检查、书面检查</w:t>
            </w:r>
          </w:p>
        </w:tc>
        <w:tc>
          <w:tcPr>
            <w:tcW w:w="1139" w:type="dxa"/>
            <w:tcBorders>
              <w:top w:val="single" w:color="auto" w:sz="4" w:space="0"/>
              <w:left w:val="single" w:color="auto" w:sz="4" w:space="0"/>
              <w:bottom w:val="single" w:color="auto" w:sz="4" w:space="0"/>
              <w:right w:val="single" w:color="auto" w:sz="4" w:space="0"/>
            </w:tcBorders>
            <w:shd w:val="clear" w:color="auto" w:fill="auto"/>
            <w:vAlign w:val="center"/>
          </w:tcPr>
          <w:p w14:paraId="2C384759">
            <w:pPr>
              <w:widowControl/>
              <w:autoSpaceDE w:val="0"/>
              <w:autoSpaceDN w:val="0"/>
              <w:spacing w:line="280" w:lineRule="exact"/>
              <w:jc w:val="center"/>
              <w:rPr>
                <w:rFonts w:hint="eastAsia" w:ascii="Times New Roman" w:hAnsi="Times New Roman" w:eastAsia="仿宋_GB2312"/>
                <w:color w:val="auto"/>
                <w:szCs w:val="21"/>
                <w:lang w:val="en-US" w:eastAsia="zh-CN"/>
              </w:rPr>
            </w:pPr>
            <w:r>
              <w:rPr>
                <w:rFonts w:hint="eastAsia" w:ascii="Times New Roman" w:hAnsi="Times New Roman" w:eastAsia="仿宋_GB2312"/>
                <w:color w:val="auto"/>
                <w:szCs w:val="21"/>
                <w:lang w:val="en-US" w:eastAsia="zh-CN"/>
              </w:rPr>
              <w:t>每半年</w:t>
            </w:r>
          </w:p>
          <w:p w14:paraId="76638916">
            <w:pPr>
              <w:widowControl/>
              <w:autoSpaceDE w:val="0"/>
              <w:autoSpaceDN w:val="0"/>
              <w:spacing w:line="280" w:lineRule="exact"/>
              <w:jc w:val="center"/>
              <w:rPr>
                <w:rFonts w:ascii="Times New Roman" w:hAnsi="Times New Roman" w:eastAsia="仿宋_GB2312"/>
                <w:color w:val="auto"/>
                <w:szCs w:val="21"/>
              </w:rPr>
            </w:pPr>
            <w:r>
              <w:rPr>
                <w:rFonts w:hint="eastAsia" w:ascii="Times New Roman" w:hAnsi="Times New Roman" w:eastAsia="仿宋_GB2312"/>
                <w:color w:val="auto"/>
                <w:szCs w:val="21"/>
                <w:lang w:val="en-US" w:eastAsia="zh-CN"/>
              </w:rPr>
              <w:t>1次</w:t>
            </w:r>
          </w:p>
        </w:tc>
        <w:tc>
          <w:tcPr>
            <w:tcW w:w="1491" w:type="dxa"/>
            <w:tcBorders>
              <w:top w:val="single" w:color="auto" w:sz="4" w:space="0"/>
              <w:left w:val="single" w:color="auto" w:sz="4" w:space="0"/>
              <w:bottom w:val="single" w:color="auto" w:sz="4" w:space="0"/>
              <w:right w:val="single" w:color="auto" w:sz="4" w:space="0"/>
            </w:tcBorders>
            <w:shd w:val="clear" w:color="auto" w:fill="auto"/>
            <w:vAlign w:val="center"/>
          </w:tcPr>
          <w:p w14:paraId="68569731">
            <w:pPr>
              <w:widowControl/>
              <w:autoSpaceDE w:val="0"/>
              <w:autoSpaceDN w:val="0"/>
              <w:spacing w:line="280" w:lineRule="exact"/>
              <w:jc w:val="center"/>
              <w:rPr>
                <w:rFonts w:ascii="Times New Roman" w:hAnsi="Times New Roman" w:eastAsia="仿宋_GB2312"/>
                <w:color w:val="auto"/>
                <w:szCs w:val="21"/>
              </w:rPr>
            </w:pPr>
            <w:r>
              <w:rPr>
                <w:rFonts w:hint="eastAsia" w:ascii="Times New Roman" w:hAnsi="Times New Roman" w:eastAsia="仿宋_GB2312"/>
                <w:color w:val="auto"/>
                <w:szCs w:val="21"/>
              </w:rPr>
              <w:t>320217064000</w:t>
            </w:r>
          </w:p>
        </w:tc>
        <w:tc>
          <w:tcPr>
            <w:tcW w:w="1481" w:type="dxa"/>
            <w:tcBorders>
              <w:top w:val="single" w:color="auto" w:sz="4" w:space="0"/>
              <w:left w:val="single" w:color="auto" w:sz="4" w:space="0"/>
              <w:bottom w:val="single" w:color="auto" w:sz="4" w:space="0"/>
              <w:right w:val="single" w:color="auto" w:sz="4" w:space="0"/>
            </w:tcBorders>
            <w:shd w:val="clear" w:color="auto" w:fill="auto"/>
            <w:vAlign w:val="center"/>
          </w:tcPr>
          <w:p w14:paraId="709CD3AC">
            <w:pPr>
              <w:widowControl/>
              <w:autoSpaceDE w:val="0"/>
              <w:autoSpaceDN w:val="0"/>
              <w:spacing w:line="280" w:lineRule="exact"/>
              <w:rPr>
                <w:rFonts w:ascii="Times New Roman" w:hAnsi="Times New Roman" w:eastAsia="仿宋_GB2312"/>
                <w:color w:val="auto"/>
                <w:szCs w:val="21"/>
              </w:rPr>
            </w:pPr>
            <w:r>
              <w:rPr>
                <w:rFonts w:hint="eastAsia" w:ascii="Times New Roman" w:hAnsi="Times New Roman" w:eastAsia="仿宋_GB2312"/>
                <w:color w:val="auto"/>
                <w:szCs w:val="21"/>
              </w:rPr>
              <w:t>对勘察、设计、施工单位将所承包的工程转包或者违法分包，工程监理单位转让工程监理业务的处罚</w:t>
            </w:r>
          </w:p>
        </w:tc>
        <w:tc>
          <w:tcPr>
            <w:tcW w:w="622" w:type="dxa"/>
            <w:tcBorders>
              <w:top w:val="single" w:color="auto" w:sz="4" w:space="0"/>
              <w:left w:val="single" w:color="auto" w:sz="4" w:space="0"/>
              <w:bottom w:val="single" w:color="auto" w:sz="4" w:space="0"/>
              <w:right w:val="single" w:color="auto" w:sz="4" w:space="0"/>
            </w:tcBorders>
            <w:shd w:val="clear" w:color="auto" w:fill="auto"/>
            <w:vAlign w:val="center"/>
          </w:tcPr>
          <w:p w14:paraId="2198EE60">
            <w:pPr>
              <w:spacing w:line="280" w:lineRule="exact"/>
              <w:jc w:val="center"/>
              <w:rPr>
                <w:rFonts w:ascii="Times New Roman" w:hAnsi="Times New Roman" w:eastAsia="仿宋_GB2312"/>
                <w:color w:val="auto"/>
                <w:kern w:val="0"/>
                <w:szCs w:val="21"/>
              </w:rPr>
            </w:pPr>
          </w:p>
        </w:tc>
      </w:tr>
      <w:tr w14:paraId="18E87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6" w:type="dxa"/>
            <w:vMerge w:val="restart"/>
            <w:tcBorders>
              <w:top w:val="single" w:color="auto" w:sz="4" w:space="0"/>
              <w:left w:val="single" w:color="auto" w:sz="4" w:space="0"/>
              <w:right w:val="single" w:color="auto" w:sz="4" w:space="0"/>
            </w:tcBorders>
            <w:shd w:val="clear" w:color="auto" w:fill="auto"/>
            <w:vAlign w:val="center"/>
          </w:tcPr>
          <w:p w14:paraId="3410B373">
            <w:pPr>
              <w:widowControl/>
              <w:autoSpaceDE w:val="0"/>
              <w:autoSpaceDN w:val="0"/>
              <w:spacing w:line="280" w:lineRule="exact"/>
              <w:jc w:val="center"/>
              <w:rPr>
                <w:rFonts w:ascii="Times New Roman" w:hAnsi="Times New Roman" w:eastAsia="仿宋_GB2312"/>
                <w:color w:val="auto"/>
                <w:szCs w:val="21"/>
              </w:rPr>
            </w:pPr>
            <w:r>
              <w:rPr>
                <w:rFonts w:hint="eastAsia" w:ascii="Times New Roman" w:hAnsi="Times New Roman" w:eastAsia="仿宋_GB2312"/>
                <w:color w:val="auto"/>
                <w:szCs w:val="21"/>
              </w:rPr>
              <w:t>6</w:t>
            </w:r>
          </w:p>
        </w:tc>
        <w:tc>
          <w:tcPr>
            <w:tcW w:w="1324" w:type="dxa"/>
            <w:vMerge w:val="restart"/>
            <w:tcBorders>
              <w:top w:val="single" w:color="auto" w:sz="4" w:space="0"/>
              <w:left w:val="single" w:color="auto" w:sz="4" w:space="0"/>
              <w:right w:val="single" w:color="auto" w:sz="4" w:space="0"/>
            </w:tcBorders>
            <w:shd w:val="clear" w:color="auto" w:fill="auto"/>
            <w:vAlign w:val="center"/>
          </w:tcPr>
          <w:p w14:paraId="340FCC0E">
            <w:pPr>
              <w:widowControl/>
              <w:autoSpaceDE w:val="0"/>
              <w:autoSpaceDN w:val="0"/>
              <w:spacing w:line="280" w:lineRule="exact"/>
              <w:jc w:val="left"/>
              <w:rPr>
                <w:rFonts w:ascii="Times New Roman" w:hAnsi="Times New Roman" w:eastAsia="仿宋_GB2312"/>
                <w:color w:val="auto"/>
                <w:szCs w:val="21"/>
              </w:rPr>
            </w:pPr>
            <w:r>
              <w:rPr>
                <w:rFonts w:hint="eastAsia" w:ascii="Times New Roman" w:hAnsi="Times New Roman" w:eastAsia="仿宋_GB2312"/>
                <w:color w:val="auto"/>
                <w:szCs w:val="21"/>
              </w:rPr>
              <w:t>在建项目保障农民工工资支付情况检查</w:t>
            </w:r>
          </w:p>
        </w:tc>
        <w:tc>
          <w:tcPr>
            <w:tcW w:w="794" w:type="dxa"/>
            <w:vMerge w:val="restart"/>
            <w:tcBorders>
              <w:top w:val="single" w:color="auto" w:sz="4" w:space="0"/>
              <w:left w:val="single" w:color="auto" w:sz="4" w:space="0"/>
              <w:right w:val="single" w:color="auto" w:sz="4" w:space="0"/>
            </w:tcBorders>
            <w:shd w:val="clear" w:color="auto" w:fill="auto"/>
            <w:vAlign w:val="center"/>
          </w:tcPr>
          <w:p w14:paraId="65B9146E">
            <w:pPr>
              <w:widowControl/>
              <w:autoSpaceDE w:val="0"/>
              <w:autoSpaceDN w:val="0"/>
              <w:spacing w:line="280" w:lineRule="exact"/>
              <w:jc w:val="center"/>
              <w:rPr>
                <w:rFonts w:ascii="Times New Roman" w:hAnsi="Times New Roman" w:eastAsia="仿宋_GB2312"/>
                <w:color w:val="auto"/>
                <w:szCs w:val="21"/>
              </w:rPr>
            </w:pPr>
            <w:r>
              <w:rPr>
                <w:rFonts w:hint="eastAsia" w:ascii="Times New Roman" w:hAnsi="Times New Roman" w:eastAsia="仿宋_GB2312"/>
                <w:color w:val="auto"/>
                <w:szCs w:val="21"/>
              </w:rPr>
              <w:t>苏州市相城区住房和城乡建设局</w:t>
            </w:r>
          </w:p>
        </w:tc>
        <w:tc>
          <w:tcPr>
            <w:tcW w:w="872" w:type="dxa"/>
            <w:vMerge w:val="restart"/>
            <w:tcBorders>
              <w:top w:val="single" w:color="auto" w:sz="4" w:space="0"/>
              <w:left w:val="single" w:color="auto" w:sz="4" w:space="0"/>
              <w:right w:val="single" w:color="auto" w:sz="4" w:space="0"/>
            </w:tcBorders>
            <w:shd w:val="clear" w:color="auto" w:fill="auto"/>
            <w:vAlign w:val="center"/>
          </w:tcPr>
          <w:p w14:paraId="725E9274">
            <w:pPr>
              <w:widowControl/>
              <w:autoSpaceDE w:val="0"/>
              <w:autoSpaceDN w:val="0"/>
              <w:spacing w:line="280" w:lineRule="exact"/>
              <w:rPr>
                <w:rFonts w:ascii="Times New Roman" w:hAnsi="Times New Roman" w:eastAsia="仿宋_GB2312"/>
                <w:color w:val="auto"/>
                <w:szCs w:val="21"/>
              </w:rPr>
            </w:pPr>
            <w:r>
              <w:rPr>
                <w:rFonts w:hint="eastAsia" w:ascii="Times New Roman" w:hAnsi="Times New Roman" w:eastAsia="仿宋_GB2312"/>
                <w:color w:val="auto"/>
                <w:szCs w:val="21"/>
              </w:rPr>
              <w:t>相城区建筑管理服务中心</w:t>
            </w:r>
          </w:p>
        </w:tc>
        <w:tc>
          <w:tcPr>
            <w:tcW w:w="869" w:type="dxa"/>
            <w:vMerge w:val="restart"/>
            <w:tcBorders>
              <w:top w:val="single" w:color="auto" w:sz="4" w:space="0"/>
              <w:left w:val="single" w:color="auto" w:sz="4" w:space="0"/>
              <w:right w:val="single" w:color="auto" w:sz="4" w:space="0"/>
            </w:tcBorders>
            <w:shd w:val="clear" w:color="auto" w:fill="auto"/>
            <w:vAlign w:val="center"/>
          </w:tcPr>
          <w:p w14:paraId="547BDFD5">
            <w:pPr>
              <w:widowControl/>
              <w:autoSpaceDE w:val="0"/>
              <w:autoSpaceDN w:val="0"/>
              <w:spacing w:line="280" w:lineRule="exact"/>
              <w:jc w:val="left"/>
              <w:rPr>
                <w:rFonts w:ascii="Times New Roman" w:hAnsi="Times New Roman" w:eastAsia="仿宋_GB2312"/>
                <w:color w:val="auto"/>
                <w:szCs w:val="21"/>
              </w:rPr>
            </w:pPr>
            <w:r>
              <w:rPr>
                <w:rFonts w:hint="eastAsia" w:ascii="Times New Roman" w:hAnsi="Times New Roman" w:eastAsia="仿宋_GB2312"/>
                <w:color w:val="auto"/>
                <w:szCs w:val="21"/>
              </w:rPr>
              <w:t>区管房建市政工程项目</w:t>
            </w:r>
          </w:p>
        </w:tc>
        <w:tc>
          <w:tcPr>
            <w:tcW w:w="4962" w:type="dxa"/>
            <w:vMerge w:val="restart"/>
            <w:tcBorders>
              <w:top w:val="single" w:color="auto" w:sz="4" w:space="0"/>
              <w:left w:val="single" w:color="auto" w:sz="4" w:space="0"/>
              <w:right w:val="single" w:color="auto" w:sz="4" w:space="0"/>
            </w:tcBorders>
            <w:shd w:val="clear" w:color="auto" w:fill="auto"/>
            <w:vAlign w:val="center"/>
          </w:tcPr>
          <w:p w14:paraId="5B8DA648">
            <w:pPr>
              <w:widowControl/>
              <w:autoSpaceDE w:val="0"/>
              <w:autoSpaceDN w:val="0"/>
              <w:spacing w:line="280" w:lineRule="exact"/>
              <w:jc w:val="left"/>
              <w:rPr>
                <w:rFonts w:ascii="Times New Roman" w:hAnsi="Times New Roman" w:eastAsia="仿宋_GB2312"/>
                <w:color w:val="auto"/>
                <w:szCs w:val="21"/>
              </w:rPr>
            </w:pPr>
            <w:r>
              <w:rPr>
                <w:rFonts w:hint="eastAsia" w:ascii="Times New Roman" w:hAnsi="Times New Roman" w:eastAsia="仿宋_GB2312"/>
                <w:color w:val="auto"/>
                <w:szCs w:val="21"/>
              </w:rPr>
              <w:t>【行政法规】《保障农民工工资支付条例》</w:t>
            </w:r>
          </w:p>
          <w:p w14:paraId="04E1B86D">
            <w:pPr>
              <w:widowControl/>
              <w:autoSpaceDE w:val="0"/>
              <w:autoSpaceDN w:val="0"/>
              <w:spacing w:line="280" w:lineRule="exact"/>
              <w:jc w:val="left"/>
              <w:rPr>
                <w:rFonts w:ascii="Times New Roman" w:hAnsi="Times New Roman" w:eastAsia="仿宋_GB2312"/>
                <w:color w:val="auto"/>
                <w:szCs w:val="21"/>
              </w:rPr>
            </w:pPr>
            <w:r>
              <w:rPr>
                <w:rFonts w:hint="eastAsia" w:ascii="Times New Roman" w:hAnsi="Times New Roman" w:eastAsia="仿宋_GB2312"/>
                <w:color w:val="auto"/>
                <w:szCs w:val="21"/>
              </w:rPr>
              <w:t xml:space="preserve">    第六条　用人单位实行农民工劳动用工实名制管理，与招用的农民工书面约定或者通过依法制定的规章制度规定工资支付标准、支付时间、支付方式等内容。</w:t>
            </w:r>
          </w:p>
          <w:p w14:paraId="5DC6B1EA">
            <w:pPr>
              <w:widowControl/>
              <w:autoSpaceDE w:val="0"/>
              <w:autoSpaceDN w:val="0"/>
              <w:spacing w:line="280" w:lineRule="exact"/>
              <w:ind w:firstLine="435"/>
              <w:jc w:val="left"/>
              <w:rPr>
                <w:rFonts w:ascii="Times New Roman" w:hAnsi="Times New Roman" w:eastAsia="仿宋_GB2312"/>
                <w:color w:val="auto"/>
                <w:szCs w:val="21"/>
              </w:rPr>
            </w:pPr>
            <w:r>
              <w:rPr>
                <w:rFonts w:hint="eastAsia" w:ascii="Times New Roman" w:hAnsi="Times New Roman" w:eastAsia="仿宋_GB2312"/>
                <w:color w:val="auto"/>
                <w:szCs w:val="21"/>
              </w:rPr>
              <w:t>第七条第二款  住房城乡建设、交通运输、水利等相关行业工程建设主管部门按照职责履行行业监管责任，督办因违法发包、转包、违法分包、挂靠、拖欠工程款等导致的拖欠农民工工资案件。</w:t>
            </w:r>
          </w:p>
          <w:p w14:paraId="6BD7AF7F">
            <w:pPr>
              <w:widowControl/>
              <w:autoSpaceDE w:val="0"/>
              <w:autoSpaceDN w:val="0"/>
              <w:spacing w:line="280" w:lineRule="exact"/>
              <w:ind w:firstLine="435"/>
              <w:jc w:val="left"/>
              <w:rPr>
                <w:rFonts w:ascii="Times New Roman" w:hAnsi="Times New Roman" w:eastAsia="仿宋_GB2312"/>
                <w:color w:val="auto"/>
                <w:szCs w:val="21"/>
              </w:rPr>
            </w:pPr>
            <w:r>
              <w:rPr>
                <w:rFonts w:hint="eastAsia" w:ascii="Times New Roman" w:hAnsi="Times New Roman" w:eastAsia="仿宋_GB2312"/>
                <w:color w:val="auto"/>
                <w:szCs w:val="21"/>
              </w:rPr>
              <w:t>第二十四条　建设单位应当向施工单位提供工程款支付担保。</w:t>
            </w:r>
          </w:p>
          <w:p w14:paraId="51C3858F">
            <w:pPr>
              <w:autoSpaceDE w:val="0"/>
              <w:autoSpaceDN w:val="0"/>
              <w:spacing w:line="280" w:lineRule="exact"/>
              <w:ind w:firstLine="435"/>
              <w:jc w:val="left"/>
              <w:rPr>
                <w:rFonts w:ascii="Times New Roman" w:hAnsi="Times New Roman" w:eastAsia="仿宋_GB2312"/>
                <w:color w:val="auto"/>
                <w:szCs w:val="21"/>
              </w:rPr>
            </w:pPr>
            <w:r>
              <w:rPr>
                <w:rFonts w:hint="eastAsia" w:ascii="Times New Roman" w:hAnsi="Times New Roman" w:eastAsia="仿宋_GB2312"/>
                <w:color w:val="auto"/>
                <w:szCs w:val="21"/>
              </w:rPr>
              <w:t>建设单位与施工总承包单位依法订立书面工程施工合同，应当约定工程款计量周期、工程款进度结算办法以及人工费用拨付周期，并按照保障农民工工资按时足额支付的要求约定人工费用。人工费用拨付周期不得超过1个月。</w:t>
            </w:r>
          </w:p>
        </w:tc>
        <w:tc>
          <w:tcPr>
            <w:tcW w:w="992" w:type="dxa"/>
            <w:vMerge w:val="restart"/>
            <w:tcBorders>
              <w:top w:val="single" w:color="auto" w:sz="4" w:space="0"/>
              <w:left w:val="single" w:color="auto" w:sz="4" w:space="0"/>
              <w:right w:val="single" w:color="auto" w:sz="4" w:space="0"/>
            </w:tcBorders>
            <w:shd w:val="clear" w:color="auto" w:fill="auto"/>
            <w:vAlign w:val="center"/>
          </w:tcPr>
          <w:p w14:paraId="0750C379">
            <w:pPr>
              <w:widowControl/>
              <w:autoSpaceDE w:val="0"/>
              <w:autoSpaceDN w:val="0"/>
              <w:spacing w:line="280" w:lineRule="exact"/>
              <w:jc w:val="center"/>
              <w:rPr>
                <w:rFonts w:ascii="Times New Roman" w:hAnsi="Times New Roman" w:eastAsia="仿宋_GB2312"/>
                <w:color w:val="auto"/>
                <w:szCs w:val="21"/>
              </w:rPr>
            </w:pPr>
            <w:r>
              <w:rPr>
                <w:rFonts w:hint="eastAsia" w:ascii="Times New Roman" w:hAnsi="Times New Roman" w:eastAsia="仿宋_GB2312"/>
                <w:color w:val="auto"/>
                <w:szCs w:val="21"/>
              </w:rPr>
              <w:t>现场检查，书面检查</w:t>
            </w:r>
          </w:p>
        </w:tc>
        <w:tc>
          <w:tcPr>
            <w:tcW w:w="1139" w:type="dxa"/>
            <w:vMerge w:val="restart"/>
            <w:tcBorders>
              <w:top w:val="single" w:color="auto" w:sz="4" w:space="0"/>
              <w:left w:val="single" w:color="auto" w:sz="4" w:space="0"/>
              <w:right w:val="single" w:color="auto" w:sz="4" w:space="0"/>
            </w:tcBorders>
            <w:shd w:val="clear" w:color="auto" w:fill="auto"/>
            <w:vAlign w:val="center"/>
          </w:tcPr>
          <w:p w14:paraId="287AF7BB">
            <w:pPr>
              <w:widowControl/>
              <w:autoSpaceDE w:val="0"/>
              <w:autoSpaceDN w:val="0"/>
              <w:spacing w:line="280" w:lineRule="exact"/>
              <w:jc w:val="center"/>
              <w:rPr>
                <w:rFonts w:hint="eastAsia" w:ascii="Times New Roman" w:hAnsi="Times New Roman" w:eastAsia="仿宋_GB2312"/>
                <w:color w:val="auto"/>
                <w:szCs w:val="21"/>
                <w:lang w:val="en-US" w:eastAsia="zh-CN"/>
              </w:rPr>
            </w:pPr>
            <w:r>
              <w:rPr>
                <w:rFonts w:hint="eastAsia" w:ascii="Times New Roman" w:hAnsi="Times New Roman" w:eastAsia="仿宋_GB2312"/>
                <w:color w:val="auto"/>
                <w:szCs w:val="21"/>
                <w:lang w:val="en-US" w:eastAsia="zh-CN"/>
              </w:rPr>
              <w:t>每半年</w:t>
            </w:r>
          </w:p>
          <w:p w14:paraId="59607AFE">
            <w:pPr>
              <w:widowControl/>
              <w:autoSpaceDE w:val="0"/>
              <w:autoSpaceDN w:val="0"/>
              <w:spacing w:line="280" w:lineRule="exact"/>
              <w:jc w:val="center"/>
              <w:rPr>
                <w:rFonts w:ascii="Times New Roman" w:hAnsi="Times New Roman" w:eastAsia="仿宋_GB2312"/>
                <w:color w:val="auto"/>
                <w:szCs w:val="21"/>
              </w:rPr>
            </w:pPr>
            <w:r>
              <w:rPr>
                <w:rFonts w:hint="eastAsia" w:ascii="Times New Roman" w:hAnsi="Times New Roman" w:eastAsia="仿宋_GB2312"/>
                <w:color w:val="auto"/>
                <w:szCs w:val="21"/>
                <w:lang w:val="en-US" w:eastAsia="zh-CN"/>
              </w:rPr>
              <w:t>1次</w:t>
            </w:r>
          </w:p>
        </w:tc>
        <w:tc>
          <w:tcPr>
            <w:tcW w:w="1491" w:type="dxa"/>
            <w:tcBorders>
              <w:top w:val="single" w:color="auto" w:sz="4" w:space="0"/>
              <w:left w:val="single" w:color="auto" w:sz="4" w:space="0"/>
              <w:bottom w:val="single" w:color="auto" w:sz="4" w:space="0"/>
              <w:right w:val="single" w:color="auto" w:sz="4" w:space="0"/>
            </w:tcBorders>
            <w:shd w:val="clear" w:color="auto" w:fill="auto"/>
            <w:vAlign w:val="center"/>
          </w:tcPr>
          <w:p w14:paraId="1BD4A836">
            <w:pPr>
              <w:widowControl/>
              <w:autoSpaceDE w:val="0"/>
              <w:autoSpaceDN w:val="0"/>
              <w:spacing w:line="280" w:lineRule="exact"/>
              <w:jc w:val="center"/>
              <w:rPr>
                <w:rFonts w:ascii="Times New Roman" w:hAnsi="Times New Roman" w:eastAsia="仿宋_GB2312"/>
                <w:color w:val="auto"/>
                <w:szCs w:val="21"/>
              </w:rPr>
            </w:pPr>
            <w:r>
              <w:rPr>
                <w:rFonts w:hint="eastAsia" w:ascii="Times New Roman" w:hAnsi="Times New Roman" w:eastAsia="仿宋_GB2312"/>
                <w:color w:val="auto"/>
                <w:szCs w:val="21"/>
              </w:rPr>
              <w:t>320217891000</w:t>
            </w:r>
          </w:p>
        </w:tc>
        <w:tc>
          <w:tcPr>
            <w:tcW w:w="1481" w:type="dxa"/>
            <w:tcBorders>
              <w:top w:val="single" w:color="auto" w:sz="4" w:space="0"/>
              <w:left w:val="single" w:color="auto" w:sz="4" w:space="0"/>
              <w:bottom w:val="single" w:color="auto" w:sz="4" w:space="0"/>
              <w:right w:val="single" w:color="auto" w:sz="4" w:space="0"/>
            </w:tcBorders>
            <w:shd w:val="clear" w:color="auto" w:fill="auto"/>
            <w:vAlign w:val="center"/>
          </w:tcPr>
          <w:p w14:paraId="1446C176">
            <w:pPr>
              <w:widowControl/>
              <w:autoSpaceDE w:val="0"/>
              <w:autoSpaceDN w:val="0"/>
              <w:spacing w:line="280" w:lineRule="exact"/>
              <w:rPr>
                <w:rFonts w:ascii="Times New Roman" w:hAnsi="Times New Roman" w:eastAsia="仿宋_GB2312"/>
                <w:color w:val="auto"/>
                <w:szCs w:val="21"/>
              </w:rPr>
            </w:pPr>
            <w:r>
              <w:rPr>
                <w:rFonts w:hint="eastAsia" w:ascii="Times New Roman" w:hAnsi="Times New Roman" w:eastAsia="仿宋_GB2312"/>
                <w:color w:val="auto"/>
                <w:szCs w:val="21"/>
              </w:rPr>
              <w:t>对施工总承包单位未按规定开设或者使用农民工工资专用账户的处罚</w:t>
            </w:r>
          </w:p>
        </w:tc>
        <w:tc>
          <w:tcPr>
            <w:tcW w:w="622" w:type="dxa"/>
            <w:tcBorders>
              <w:top w:val="single" w:color="auto" w:sz="4" w:space="0"/>
              <w:left w:val="single" w:color="auto" w:sz="4" w:space="0"/>
              <w:right w:val="single" w:color="auto" w:sz="4" w:space="0"/>
            </w:tcBorders>
            <w:shd w:val="clear" w:color="auto" w:fill="auto"/>
            <w:vAlign w:val="center"/>
          </w:tcPr>
          <w:p w14:paraId="3F10FB65">
            <w:pPr>
              <w:spacing w:line="280" w:lineRule="exact"/>
              <w:jc w:val="center"/>
              <w:rPr>
                <w:rFonts w:ascii="Times New Roman" w:hAnsi="Times New Roman" w:eastAsia="仿宋_GB2312"/>
                <w:color w:val="auto"/>
                <w:kern w:val="0"/>
                <w:szCs w:val="21"/>
              </w:rPr>
            </w:pPr>
          </w:p>
        </w:tc>
      </w:tr>
      <w:tr w14:paraId="3C4FE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6" w:type="dxa"/>
            <w:vMerge w:val="continue"/>
            <w:tcBorders>
              <w:left w:val="single" w:color="auto" w:sz="4" w:space="0"/>
              <w:right w:val="single" w:color="auto" w:sz="4" w:space="0"/>
            </w:tcBorders>
            <w:shd w:val="clear" w:color="auto" w:fill="auto"/>
            <w:vAlign w:val="center"/>
          </w:tcPr>
          <w:p w14:paraId="09B9FE29">
            <w:pPr>
              <w:widowControl/>
              <w:autoSpaceDE w:val="0"/>
              <w:autoSpaceDN w:val="0"/>
              <w:spacing w:line="280" w:lineRule="exact"/>
              <w:jc w:val="left"/>
              <w:rPr>
                <w:rFonts w:ascii="Times New Roman" w:hAnsi="Times New Roman" w:eastAsia="仿宋_GB2312"/>
                <w:color w:val="auto"/>
                <w:szCs w:val="21"/>
              </w:rPr>
            </w:pPr>
          </w:p>
        </w:tc>
        <w:tc>
          <w:tcPr>
            <w:tcW w:w="1324" w:type="dxa"/>
            <w:vMerge w:val="continue"/>
            <w:tcBorders>
              <w:left w:val="single" w:color="auto" w:sz="4" w:space="0"/>
              <w:right w:val="single" w:color="auto" w:sz="4" w:space="0"/>
            </w:tcBorders>
            <w:shd w:val="clear" w:color="auto" w:fill="auto"/>
            <w:vAlign w:val="center"/>
          </w:tcPr>
          <w:p w14:paraId="4A67D5FD">
            <w:pPr>
              <w:widowControl/>
              <w:autoSpaceDE w:val="0"/>
              <w:autoSpaceDN w:val="0"/>
              <w:spacing w:line="280" w:lineRule="exact"/>
              <w:jc w:val="left"/>
              <w:rPr>
                <w:rFonts w:ascii="Times New Roman" w:hAnsi="Times New Roman" w:eastAsia="仿宋_GB2312"/>
                <w:color w:val="auto"/>
                <w:szCs w:val="21"/>
              </w:rPr>
            </w:pPr>
          </w:p>
        </w:tc>
        <w:tc>
          <w:tcPr>
            <w:tcW w:w="794" w:type="dxa"/>
            <w:vMerge w:val="continue"/>
            <w:tcBorders>
              <w:left w:val="single" w:color="auto" w:sz="4" w:space="0"/>
              <w:right w:val="single" w:color="auto" w:sz="4" w:space="0"/>
            </w:tcBorders>
            <w:shd w:val="clear" w:color="auto" w:fill="auto"/>
            <w:vAlign w:val="center"/>
          </w:tcPr>
          <w:p w14:paraId="445982E0">
            <w:pPr>
              <w:widowControl/>
              <w:autoSpaceDE w:val="0"/>
              <w:autoSpaceDN w:val="0"/>
              <w:spacing w:line="280" w:lineRule="exact"/>
              <w:jc w:val="left"/>
              <w:rPr>
                <w:rFonts w:ascii="Times New Roman" w:hAnsi="Times New Roman" w:eastAsia="仿宋_GB2312"/>
                <w:color w:val="auto"/>
                <w:szCs w:val="21"/>
              </w:rPr>
            </w:pPr>
          </w:p>
        </w:tc>
        <w:tc>
          <w:tcPr>
            <w:tcW w:w="872" w:type="dxa"/>
            <w:vMerge w:val="continue"/>
            <w:tcBorders>
              <w:left w:val="single" w:color="auto" w:sz="4" w:space="0"/>
              <w:right w:val="single" w:color="auto" w:sz="4" w:space="0"/>
            </w:tcBorders>
            <w:shd w:val="clear" w:color="auto" w:fill="auto"/>
            <w:vAlign w:val="center"/>
          </w:tcPr>
          <w:p w14:paraId="1FDE4798">
            <w:pPr>
              <w:widowControl/>
              <w:autoSpaceDE w:val="0"/>
              <w:autoSpaceDN w:val="0"/>
              <w:spacing w:line="280" w:lineRule="exact"/>
              <w:jc w:val="left"/>
              <w:rPr>
                <w:rFonts w:ascii="Times New Roman" w:hAnsi="Times New Roman" w:eastAsia="仿宋_GB2312"/>
                <w:color w:val="auto"/>
                <w:szCs w:val="21"/>
              </w:rPr>
            </w:pPr>
          </w:p>
        </w:tc>
        <w:tc>
          <w:tcPr>
            <w:tcW w:w="869" w:type="dxa"/>
            <w:vMerge w:val="continue"/>
            <w:tcBorders>
              <w:left w:val="single" w:color="auto" w:sz="4" w:space="0"/>
              <w:right w:val="single" w:color="auto" w:sz="4" w:space="0"/>
            </w:tcBorders>
            <w:shd w:val="clear" w:color="auto" w:fill="auto"/>
            <w:vAlign w:val="center"/>
          </w:tcPr>
          <w:p w14:paraId="0B878799">
            <w:pPr>
              <w:widowControl/>
              <w:autoSpaceDE w:val="0"/>
              <w:autoSpaceDN w:val="0"/>
              <w:spacing w:line="280" w:lineRule="exact"/>
              <w:jc w:val="left"/>
              <w:rPr>
                <w:rFonts w:ascii="Times New Roman" w:hAnsi="Times New Roman" w:eastAsia="仿宋_GB2312"/>
                <w:color w:val="auto"/>
                <w:szCs w:val="21"/>
              </w:rPr>
            </w:pPr>
          </w:p>
        </w:tc>
        <w:tc>
          <w:tcPr>
            <w:tcW w:w="4962" w:type="dxa"/>
            <w:vMerge w:val="continue"/>
            <w:tcBorders>
              <w:left w:val="single" w:color="auto" w:sz="4" w:space="0"/>
              <w:right w:val="single" w:color="auto" w:sz="4" w:space="0"/>
            </w:tcBorders>
            <w:shd w:val="clear" w:color="auto" w:fill="auto"/>
            <w:vAlign w:val="center"/>
          </w:tcPr>
          <w:p w14:paraId="72208B11">
            <w:pPr>
              <w:autoSpaceDE w:val="0"/>
              <w:autoSpaceDN w:val="0"/>
              <w:spacing w:line="280" w:lineRule="exact"/>
              <w:ind w:firstLine="435"/>
              <w:jc w:val="left"/>
              <w:rPr>
                <w:rFonts w:ascii="Times New Roman" w:hAnsi="Times New Roman" w:eastAsia="仿宋_GB2312"/>
                <w:color w:val="auto"/>
                <w:szCs w:val="21"/>
              </w:rPr>
            </w:pPr>
          </w:p>
        </w:tc>
        <w:tc>
          <w:tcPr>
            <w:tcW w:w="992" w:type="dxa"/>
            <w:vMerge w:val="continue"/>
            <w:tcBorders>
              <w:left w:val="single" w:color="auto" w:sz="4" w:space="0"/>
              <w:right w:val="single" w:color="auto" w:sz="4" w:space="0"/>
            </w:tcBorders>
            <w:shd w:val="clear" w:color="auto" w:fill="auto"/>
            <w:vAlign w:val="center"/>
          </w:tcPr>
          <w:p w14:paraId="6587B060">
            <w:pPr>
              <w:widowControl/>
              <w:autoSpaceDE w:val="0"/>
              <w:autoSpaceDN w:val="0"/>
              <w:spacing w:line="280" w:lineRule="exact"/>
              <w:jc w:val="center"/>
              <w:rPr>
                <w:rFonts w:ascii="Times New Roman" w:hAnsi="Times New Roman" w:eastAsia="仿宋_GB2312"/>
                <w:color w:val="auto"/>
                <w:szCs w:val="21"/>
              </w:rPr>
            </w:pPr>
          </w:p>
        </w:tc>
        <w:tc>
          <w:tcPr>
            <w:tcW w:w="1139" w:type="dxa"/>
            <w:vMerge w:val="continue"/>
            <w:tcBorders>
              <w:left w:val="single" w:color="auto" w:sz="4" w:space="0"/>
              <w:right w:val="single" w:color="auto" w:sz="4" w:space="0"/>
            </w:tcBorders>
            <w:shd w:val="clear" w:color="auto" w:fill="auto"/>
            <w:vAlign w:val="center"/>
          </w:tcPr>
          <w:p w14:paraId="3D658049">
            <w:pPr>
              <w:widowControl/>
              <w:autoSpaceDE w:val="0"/>
              <w:autoSpaceDN w:val="0"/>
              <w:spacing w:line="280" w:lineRule="exact"/>
              <w:jc w:val="center"/>
              <w:rPr>
                <w:rFonts w:ascii="Times New Roman" w:hAnsi="Times New Roman" w:eastAsia="仿宋_GB2312"/>
                <w:color w:val="auto"/>
                <w:szCs w:val="21"/>
              </w:rPr>
            </w:pPr>
          </w:p>
        </w:tc>
        <w:tc>
          <w:tcPr>
            <w:tcW w:w="1491" w:type="dxa"/>
            <w:tcBorders>
              <w:top w:val="single" w:color="auto" w:sz="4" w:space="0"/>
              <w:left w:val="single" w:color="auto" w:sz="4" w:space="0"/>
              <w:bottom w:val="single" w:color="auto" w:sz="4" w:space="0"/>
              <w:right w:val="single" w:color="auto" w:sz="4" w:space="0"/>
            </w:tcBorders>
            <w:shd w:val="clear" w:color="auto" w:fill="auto"/>
            <w:vAlign w:val="center"/>
          </w:tcPr>
          <w:p w14:paraId="30789B7A">
            <w:pPr>
              <w:widowControl/>
              <w:autoSpaceDE w:val="0"/>
              <w:autoSpaceDN w:val="0"/>
              <w:spacing w:line="280" w:lineRule="exact"/>
              <w:jc w:val="center"/>
              <w:rPr>
                <w:rFonts w:ascii="Times New Roman" w:hAnsi="Times New Roman" w:eastAsia="仿宋_GB2312"/>
                <w:color w:val="auto"/>
                <w:szCs w:val="21"/>
              </w:rPr>
            </w:pPr>
            <w:r>
              <w:rPr>
                <w:rFonts w:hint="eastAsia" w:ascii="Times New Roman" w:hAnsi="Times New Roman" w:eastAsia="仿宋_GB2312"/>
                <w:color w:val="auto"/>
                <w:szCs w:val="21"/>
              </w:rPr>
              <w:t>320217890000</w:t>
            </w:r>
          </w:p>
        </w:tc>
        <w:tc>
          <w:tcPr>
            <w:tcW w:w="1481" w:type="dxa"/>
            <w:tcBorders>
              <w:top w:val="single" w:color="auto" w:sz="4" w:space="0"/>
              <w:left w:val="single" w:color="auto" w:sz="4" w:space="0"/>
              <w:bottom w:val="single" w:color="auto" w:sz="4" w:space="0"/>
              <w:right w:val="single" w:color="auto" w:sz="4" w:space="0"/>
            </w:tcBorders>
            <w:shd w:val="clear" w:color="auto" w:fill="auto"/>
            <w:vAlign w:val="center"/>
          </w:tcPr>
          <w:p w14:paraId="70D5283F">
            <w:pPr>
              <w:widowControl/>
              <w:autoSpaceDE w:val="0"/>
              <w:autoSpaceDN w:val="0"/>
              <w:spacing w:line="280" w:lineRule="exact"/>
              <w:rPr>
                <w:rFonts w:ascii="Times New Roman" w:hAnsi="Times New Roman" w:eastAsia="仿宋_GB2312"/>
                <w:color w:val="auto"/>
                <w:szCs w:val="21"/>
              </w:rPr>
            </w:pPr>
            <w:r>
              <w:rPr>
                <w:rFonts w:hint="eastAsia" w:ascii="Times New Roman" w:hAnsi="Times New Roman" w:eastAsia="仿宋_GB2312"/>
                <w:color w:val="auto"/>
                <w:szCs w:val="21"/>
              </w:rPr>
              <w:t>对施工总承包单位、分包单位未实行劳动用工实名制管理的处罚</w:t>
            </w:r>
          </w:p>
        </w:tc>
        <w:tc>
          <w:tcPr>
            <w:tcW w:w="622" w:type="dxa"/>
            <w:tcBorders>
              <w:left w:val="single" w:color="auto" w:sz="4" w:space="0"/>
              <w:right w:val="single" w:color="auto" w:sz="4" w:space="0"/>
            </w:tcBorders>
            <w:shd w:val="clear" w:color="auto" w:fill="auto"/>
            <w:vAlign w:val="center"/>
          </w:tcPr>
          <w:p w14:paraId="053299DF">
            <w:pPr>
              <w:spacing w:line="280" w:lineRule="exact"/>
              <w:rPr>
                <w:rFonts w:ascii="Times New Roman" w:hAnsi="Times New Roman" w:eastAsia="仿宋_GB2312"/>
                <w:color w:val="auto"/>
                <w:kern w:val="0"/>
                <w:szCs w:val="21"/>
              </w:rPr>
            </w:pPr>
          </w:p>
        </w:tc>
      </w:tr>
      <w:tr w14:paraId="3B993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6" w:type="dxa"/>
            <w:vMerge w:val="continue"/>
            <w:tcBorders>
              <w:left w:val="single" w:color="auto" w:sz="4" w:space="0"/>
              <w:bottom w:val="single" w:color="auto" w:sz="4" w:space="0"/>
              <w:right w:val="single" w:color="auto" w:sz="4" w:space="0"/>
            </w:tcBorders>
            <w:shd w:val="clear" w:color="auto" w:fill="auto"/>
            <w:vAlign w:val="center"/>
          </w:tcPr>
          <w:p w14:paraId="759E80DC">
            <w:pPr>
              <w:widowControl/>
              <w:autoSpaceDE w:val="0"/>
              <w:autoSpaceDN w:val="0"/>
              <w:spacing w:line="280" w:lineRule="exact"/>
              <w:jc w:val="left"/>
              <w:rPr>
                <w:rFonts w:ascii="Times New Roman" w:hAnsi="Times New Roman" w:eastAsia="仿宋_GB2312"/>
                <w:color w:val="auto"/>
                <w:szCs w:val="21"/>
              </w:rPr>
            </w:pPr>
          </w:p>
        </w:tc>
        <w:tc>
          <w:tcPr>
            <w:tcW w:w="1324" w:type="dxa"/>
            <w:vMerge w:val="continue"/>
            <w:tcBorders>
              <w:left w:val="single" w:color="auto" w:sz="4" w:space="0"/>
              <w:bottom w:val="single" w:color="auto" w:sz="4" w:space="0"/>
              <w:right w:val="single" w:color="auto" w:sz="4" w:space="0"/>
            </w:tcBorders>
            <w:shd w:val="clear" w:color="auto" w:fill="auto"/>
            <w:vAlign w:val="center"/>
          </w:tcPr>
          <w:p w14:paraId="62B97FEE">
            <w:pPr>
              <w:widowControl/>
              <w:autoSpaceDE w:val="0"/>
              <w:autoSpaceDN w:val="0"/>
              <w:spacing w:line="280" w:lineRule="exact"/>
              <w:jc w:val="left"/>
              <w:rPr>
                <w:rFonts w:ascii="Times New Roman" w:hAnsi="Times New Roman" w:eastAsia="仿宋_GB2312"/>
                <w:color w:val="auto"/>
                <w:szCs w:val="21"/>
              </w:rPr>
            </w:pPr>
          </w:p>
        </w:tc>
        <w:tc>
          <w:tcPr>
            <w:tcW w:w="794" w:type="dxa"/>
            <w:vMerge w:val="continue"/>
            <w:tcBorders>
              <w:left w:val="single" w:color="auto" w:sz="4" w:space="0"/>
              <w:bottom w:val="single" w:color="auto" w:sz="4" w:space="0"/>
              <w:right w:val="single" w:color="auto" w:sz="4" w:space="0"/>
            </w:tcBorders>
            <w:shd w:val="clear" w:color="auto" w:fill="auto"/>
            <w:vAlign w:val="center"/>
          </w:tcPr>
          <w:p w14:paraId="7430CF54">
            <w:pPr>
              <w:widowControl/>
              <w:autoSpaceDE w:val="0"/>
              <w:autoSpaceDN w:val="0"/>
              <w:spacing w:line="280" w:lineRule="exact"/>
              <w:jc w:val="left"/>
              <w:rPr>
                <w:rFonts w:ascii="Times New Roman" w:hAnsi="Times New Roman" w:eastAsia="仿宋_GB2312"/>
                <w:color w:val="auto"/>
                <w:szCs w:val="21"/>
              </w:rPr>
            </w:pPr>
          </w:p>
        </w:tc>
        <w:tc>
          <w:tcPr>
            <w:tcW w:w="872" w:type="dxa"/>
            <w:vMerge w:val="continue"/>
            <w:tcBorders>
              <w:left w:val="single" w:color="auto" w:sz="4" w:space="0"/>
              <w:bottom w:val="single" w:color="auto" w:sz="4" w:space="0"/>
              <w:right w:val="single" w:color="auto" w:sz="4" w:space="0"/>
            </w:tcBorders>
            <w:shd w:val="clear" w:color="auto" w:fill="auto"/>
            <w:vAlign w:val="center"/>
          </w:tcPr>
          <w:p w14:paraId="709F8C89">
            <w:pPr>
              <w:widowControl/>
              <w:autoSpaceDE w:val="0"/>
              <w:autoSpaceDN w:val="0"/>
              <w:spacing w:line="280" w:lineRule="exact"/>
              <w:jc w:val="left"/>
              <w:rPr>
                <w:rFonts w:ascii="Times New Roman" w:hAnsi="Times New Roman" w:eastAsia="仿宋_GB2312"/>
                <w:color w:val="auto"/>
                <w:szCs w:val="21"/>
              </w:rPr>
            </w:pPr>
          </w:p>
        </w:tc>
        <w:tc>
          <w:tcPr>
            <w:tcW w:w="869" w:type="dxa"/>
            <w:vMerge w:val="continue"/>
            <w:tcBorders>
              <w:left w:val="single" w:color="auto" w:sz="4" w:space="0"/>
              <w:bottom w:val="single" w:color="auto" w:sz="4" w:space="0"/>
              <w:right w:val="single" w:color="auto" w:sz="4" w:space="0"/>
            </w:tcBorders>
            <w:shd w:val="clear" w:color="auto" w:fill="auto"/>
            <w:vAlign w:val="center"/>
          </w:tcPr>
          <w:p w14:paraId="31B3EACF">
            <w:pPr>
              <w:widowControl/>
              <w:autoSpaceDE w:val="0"/>
              <w:autoSpaceDN w:val="0"/>
              <w:spacing w:line="280" w:lineRule="exact"/>
              <w:jc w:val="left"/>
              <w:rPr>
                <w:rFonts w:ascii="Times New Roman" w:hAnsi="Times New Roman" w:eastAsia="仿宋_GB2312"/>
                <w:color w:val="auto"/>
                <w:szCs w:val="21"/>
              </w:rPr>
            </w:pPr>
          </w:p>
        </w:tc>
        <w:tc>
          <w:tcPr>
            <w:tcW w:w="4962" w:type="dxa"/>
            <w:vMerge w:val="continue"/>
            <w:tcBorders>
              <w:left w:val="single" w:color="auto" w:sz="4" w:space="0"/>
              <w:bottom w:val="single" w:color="auto" w:sz="4" w:space="0"/>
              <w:right w:val="single" w:color="auto" w:sz="4" w:space="0"/>
            </w:tcBorders>
            <w:shd w:val="clear" w:color="auto" w:fill="auto"/>
            <w:vAlign w:val="center"/>
          </w:tcPr>
          <w:p w14:paraId="4E3496C3">
            <w:pPr>
              <w:widowControl/>
              <w:autoSpaceDE w:val="0"/>
              <w:autoSpaceDN w:val="0"/>
              <w:spacing w:line="280" w:lineRule="exact"/>
              <w:ind w:firstLine="435"/>
              <w:jc w:val="left"/>
              <w:rPr>
                <w:rFonts w:ascii="Times New Roman" w:hAnsi="Times New Roman" w:eastAsia="仿宋_GB2312"/>
                <w:color w:val="auto"/>
                <w:szCs w:val="21"/>
              </w:rPr>
            </w:pPr>
          </w:p>
        </w:tc>
        <w:tc>
          <w:tcPr>
            <w:tcW w:w="992" w:type="dxa"/>
            <w:vMerge w:val="continue"/>
            <w:tcBorders>
              <w:left w:val="single" w:color="auto" w:sz="4" w:space="0"/>
              <w:bottom w:val="single" w:color="auto" w:sz="4" w:space="0"/>
              <w:right w:val="single" w:color="auto" w:sz="4" w:space="0"/>
            </w:tcBorders>
            <w:shd w:val="clear" w:color="auto" w:fill="auto"/>
            <w:vAlign w:val="center"/>
          </w:tcPr>
          <w:p w14:paraId="1958B165">
            <w:pPr>
              <w:widowControl/>
              <w:autoSpaceDE w:val="0"/>
              <w:autoSpaceDN w:val="0"/>
              <w:spacing w:line="280" w:lineRule="exact"/>
              <w:jc w:val="center"/>
              <w:rPr>
                <w:rFonts w:ascii="Times New Roman" w:hAnsi="Times New Roman" w:eastAsia="仿宋_GB2312"/>
                <w:color w:val="auto"/>
                <w:szCs w:val="21"/>
              </w:rPr>
            </w:pPr>
          </w:p>
        </w:tc>
        <w:tc>
          <w:tcPr>
            <w:tcW w:w="1139" w:type="dxa"/>
            <w:vMerge w:val="continue"/>
            <w:tcBorders>
              <w:left w:val="single" w:color="auto" w:sz="4" w:space="0"/>
              <w:bottom w:val="single" w:color="auto" w:sz="4" w:space="0"/>
              <w:right w:val="single" w:color="auto" w:sz="4" w:space="0"/>
            </w:tcBorders>
            <w:shd w:val="clear" w:color="auto" w:fill="auto"/>
            <w:vAlign w:val="center"/>
          </w:tcPr>
          <w:p w14:paraId="04AF3C83">
            <w:pPr>
              <w:widowControl/>
              <w:autoSpaceDE w:val="0"/>
              <w:autoSpaceDN w:val="0"/>
              <w:spacing w:line="280" w:lineRule="exact"/>
              <w:jc w:val="center"/>
              <w:rPr>
                <w:rFonts w:ascii="Times New Roman" w:hAnsi="Times New Roman" w:eastAsia="仿宋_GB2312"/>
                <w:color w:val="auto"/>
                <w:szCs w:val="21"/>
              </w:rPr>
            </w:pPr>
          </w:p>
        </w:tc>
        <w:tc>
          <w:tcPr>
            <w:tcW w:w="1491" w:type="dxa"/>
            <w:tcBorders>
              <w:top w:val="single" w:color="auto" w:sz="4" w:space="0"/>
              <w:left w:val="single" w:color="auto" w:sz="4" w:space="0"/>
              <w:bottom w:val="single" w:color="auto" w:sz="4" w:space="0"/>
              <w:right w:val="single" w:color="auto" w:sz="4" w:space="0"/>
            </w:tcBorders>
            <w:shd w:val="clear" w:color="auto" w:fill="auto"/>
            <w:vAlign w:val="center"/>
          </w:tcPr>
          <w:p w14:paraId="6C79E8AA">
            <w:pPr>
              <w:widowControl/>
              <w:autoSpaceDE w:val="0"/>
              <w:autoSpaceDN w:val="0"/>
              <w:spacing w:line="280" w:lineRule="exact"/>
              <w:jc w:val="center"/>
              <w:rPr>
                <w:rFonts w:ascii="Times New Roman" w:hAnsi="Times New Roman" w:eastAsia="仿宋_GB2312"/>
                <w:color w:val="auto"/>
                <w:szCs w:val="21"/>
              </w:rPr>
            </w:pPr>
            <w:r>
              <w:rPr>
                <w:rFonts w:hint="eastAsia" w:ascii="Times New Roman" w:hAnsi="Times New Roman" w:eastAsia="仿宋_GB2312"/>
                <w:color w:val="auto"/>
                <w:szCs w:val="21"/>
              </w:rPr>
              <w:t>320217889000</w:t>
            </w:r>
          </w:p>
        </w:tc>
        <w:tc>
          <w:tcPr>
            <w:tcW w:w="1481" w:type="dxa"/>
            <w:tcBorders>
              <w:top w:val="single" w:color="auto" w:sz="4" w:space="0"/>
              <w:left w:val="single" w:color="auto" w:sz="4" w:space="0"/>
              <w:bottom w:val="single" w:color="auto" w:sz="4" w:space="0"/>
              <w:right w:val="single" w:color="auto" w:sz="4" w:space="0"/>
            </w:tcBorders>
            <w:shd w:val="clear" w:color="auto" w:fill="auto"/>
            <w:vAlign w:val="center"/>
          </w:tcPr>
          <w:p w14:paraId="0E3EF309">
            <w:pPr>
              <w:widowControl/>
              <w:autoSpaceDE w:val="0"/>
              <w:autoSpaceDN w:val="0"/>
              <w:spacing w:line="280" w:lineRule="exact"/>
              <w:rPr>
                <w:rFonts w:ascii="Times New Roman" w:hAnsi="Times New Roman" w:eastAsia="仿宋_GB2312"/>
                <w:color w:val="auto"/>
                <w:szCs w:val="21"/>
              </w:rPr>
            </w:pPr>
            <w:r>
              <w:rPr>
                <w:rFonts w:hint="eastAsia" w:ascii="Times New Roman" w:hAnsi="Times New Roman" w:eastAsia="仿宋_GB2312"/>
                <w:color w:val="auto"/>
                <w:szCs w:val="21"/>
              </w:rPr>
              <w:t>对分包单位未按月考核农民工工作量、编制工资支付表并经农民工本人签字确认的处罚</w:t>
            </w:r>
          </w:p>
        </w:tc>
        <w:tc>
          <w:tcPr>
            <w:tcW w:w="622" w:type="dxa"/>
            <w:tcBorders>
              <w:left w:val="single" w:color="auto" w:sz="4" w:space="0"/>
              <w:bottom w:val="single" w:color="auto" w:sz="4" w:space="0"/>
              <w:right w:val="single" w:color="auto" w:sz="4" w:space="0"/>
            </w:tcBorders>
            <w:shd w:val="clear" w:color="auto" w:fill="auto"/>
            <w:vAlign w:val="center"/>
          </w:tcPr>
          <w:p w14:paraId="09212D4C">
            <w:pPr>
              <w:spacing w:line="280" w:lineRule="exact"/>
              <w:rPr>
                <w:rFonts w:ascii="Times New Roman" w:hAnsi="Times New Roman" w:eastAsia="仿宋_GB2312"/>
                <w:color w:val="auto"/>
                <w:kern w:val="0"/>
                <w:szCs w:val="21"/>
              </w:rPr>
            </w:pPr>
          </w:p>
        </w:tc>
      </w:tr>
      <w:tr w14:paraId="1E3B6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3" w:hRule="atLeast"/>
          <w:jc w:val="center"/>
        </w:trPr>
        <w:tc>
          <w:tcPr>
            <w:tcW w:w="536" w:type="dxa"/>
            <w:vMerge w:val="restart"/>
            <w:tcBorders>
              <w:top w:val="single" w:color="auto" w:sz="4" w:space="0"/>
              <w:left w:val="single" w:color="auto" w:sz="4" w:space="0"/>
              <w:right w:val="single" w:color="auto" w:sz="4" w:space="0"/>
            </w:tcBorders>
            <w:shd w:val="clear" w:color="auto" w:fill="auto"/>
            <w:vAlign w:val="center"/>
          </w:tcPr>
          <w:p w14:paraId="135C4259">
            <w:pPr>
              <w:widowControl/>
              <w:autoSpaceDE w:val="0"/>
              <w:autoSpaceDN w:val="0"/>
              <w:spacing w:line="280" w:lineRule="exact"/>
              <w:jc w:val="center"/>
              <w:rPr>
                <w:rFonts w:ascii="Times New Roman" w:hAnsi="Times New Roman" w:eastAsia="仿宋_GB2312"/>
                <w:color w:val="auto"/>
                <w:szCs w:val="21"/>
              </w:rPr>
            </w:pPr>
            <w:r>
              <w:rPr>
                <w:rFonts w:hint="eastAsia" w:ascii="Times New Roman" w:hAnsi="Times New Roman" w:eastAsia="仿宋_GB2312"/>
                <w:color w:val="auto"/>
                <w:szCs w:val="21"/>
              </w:rPr>
              <w:t>6</w:t>
            </w:r>
          </w:p>
        </w:tc>
        <w:tc>
          <w:tcPr>
            <w:tcW w:w="1324" w:type="dxa"/>
            <w:vMerge w:val="restart"/>
            <w:tcBorders>
              <w:top w:val="single" w:color="auto" w:sz="4" w:space="0"/>
              <w:left w:val="single" w:color="auto" w:sz="4" w:space="0"/>
              <w:right w:val="single" w:color="auto" w:sz="4" w:space="0"/>
            </w:tcBorders>
            <w:shd w:val="clear" w:color="auto" w:fill="auto"/>
            <w:vAlign w:val="center"/>
          </w:tcPr>
          <w:p w14:paraId="58C422EC">
            <w:pPr>
              <w:widowControl/>
              <w:autoSpaceDE w:val="0"/>
              <w:autoSpaceDN w:val="0"/>
              <w:spacing w:line="280" w:lineRule="exact"/>
              <w:jc w:val="left"/>
              <w:rPr>
                <w:rFonts w:ascii="Times New Roman" w:hAnsi="Times New Roman" w:eastAsia="仿宋_GB2312"/>
                <w:color w:val="auto"/>
                <w:szCs w:val="21"/>
              </w:rPr>
            </w:pPr>
            <w:r>
              <w:rPr>
                <w:rFonts w:hint="eastAsia" w:ascii="Times New Roman" w:hAnsi="Times New Roman" w:eastAsia="仿宋_GB2312"/>
                <w:color w:val="auto"/>
                <w:szCs w:val="21"/>
              </w:rPr>
              <w:t>在建项目保障农民工工资支付情况检查</w:t>
            </w:r>
          </w:p>
        </w:tc>
        <w:tc>
          <w:tcPr>
            <w:tcW w:w="794" w:type="dxa"/>
            <w:vMerge w:val="restart"/>
            <w:tcBorders>
              <w:top w:val="single" w:color="auto" w:sz="4" w:space="0"/>
              <w:left w:val="single" w:color="auto" w:sz="4" w:space="0"/>
              <w:right w:val="single" w:color="auto" w:sz="4" w:space="0"/>
            </w:tcBorders>
            <w:shd w:val="clear" w:color="auto" w:fill="auto"/>
            <w:vAlign w:val="center"/>
          </w:tcPr>
          <w:p w14:paraId="64A598FF">
            <w:pPr>
              <w:widowControl/>
              <w:autoSpaceDE w:val="0"/>
              <w:autoSpaceDN w:val="0"/>
              <w:spacing w:line="280" w:lineRule="exact"/>
              <w:jc w:val="center"/>
              <w:rPr>
                <w:rFonts w:ascii="Times New Roman" w:hAnsi="Times New Roman" w:eastAsia="仿宋_GB2312"/>
                <w:color w:val="auto"/>
                <w:szCs w:val="21"/>
              </w:rPr>
            </w:pPr>
            <w:r>
              <w:rPr>
                <w:rFonts w:hint="eastAsia" w:ascii="Times New Roman" w:hAnsi="Times New Roman" w:eastAsia="仿宋_GB2312"/>
                <w:color w:val="auto"/>
                <w:szCs w:val="21"/>
              </w:rPr>
              <w:t>苏州市相城区住房和城乡建设局</w:t>
            </w:r>
          </w:p>
        </w:tc>
        <w:tc>
          <w:tcPr>
            <w:tcW w:w="872" w:type="dxa"/>
            <w:vMerge w:val="restart"/>
            <w:tcBorders>
              <w:top w:val="single" w:color="auto" w:sz="4" w:space="0"/>
              <w:left w:val="single" w:color="auto" w:sz="4" w:space="0"/>
              <w:right w:val="single" w:color="auto" w:sz="4" w:space="0"/>
            </w:tcBorders>
            <w:shd w:val="clear" w:color="auto" w:fill="auto"/>
            <w:vAlign w:val="center"/>
          </w:tcPr>
          <w:p w14:paraId="20610091">
            <w:pPr>
              <w:widowControl/>
              <w:autoSpaceDE w:val="0"/>
              <w:autoSpaceDN w:val="0"/>
              <w:spacing w:line="280" w:lineRule="exact"/>
              <w:rPr>
                <w:rFonts w:ascii="Times New Roman" w:hAnsi="Times New Roman" w:eastAsia="仿宋_GB2312"/>
                <w:color w:val="auto"/>
                <w:szCs w:val="21"/>
              </w:rPr>
            </w:pPr>
            <w:r>
              <w:rPr>
                <w:rFonts w:hint="eastAsia" w:ascii="Times New Roman" w:hAnsi="Times New Roman" w:eastAsia="仿宋_GB2312"/>
                <w:color w:val="auto"/>
                <w:szCs w:val="21"/>
              </w:rPr>
              <w:t>相城区建筑管理服务中心</w:t>
            </w:r>
          </w:p>
        </w:tc>
        <w:tc>
          <w:tcPr>
            <w:tcW w:w="869" w:type="dxa"/>
            <w:vMerge w:val="restart"/>
            <w:tcBorders>
              <w:top w:val="single" w:color="auto" w:sz="4" w:space="0"/>
              <w:left w:val="single" w:color="auto" w:sz="4" w:space="0"/>
              <w:right w:val="single" w:color="auto" w:sz="4" w:space="0"/>
            </w:tcBorders>
            <w:shd w:val="clear" w:color="auto" w:fill="auto"/>
            <w:vAlign w:val="center"/>
          </w:tcPr>
          <w:p w14:paraId="0FB4A6AD">
            <w:pPr>
              <w:widowControl/>
              <w:autoSpaceDE w:val="0"/>
              <w:autoSpaceDN w:val="0"/>
              <w:spacing w:line="280" w:lineRule="exact"/>
              <w:jc w:val="left"/>
              <w:rPr>
                <w:rFonts w:ascii="Times New Roman" w:hAnsi="Times New Roman" w:eastAsia="仿宋_GB2312"/>
                <w:color w:val="auto"/>
                <w:szCs w:val="21"/>
              </w:rPr>
            </w:pPr>
            <w:r>
              <w:rPr>
                <w:rFonts w:hint="eastAsia" w:ascii="Times New Roman" w:hAnsi="Times New Roman" w:eastAsia="仿宋_GB2312"/>
                <w:color w:val="auto"/>
                <w:szCs w:val="21"/>
              </w:rPr>
              <w:t>区管房建市政工程项目</w:t>
            </w:r>
          </w:p>
        </w:tc>
        <w:tc>
          <w:tcPr>
            <w:tcW w:w="4962" w:type="dxa"/>
            <w:vMerge w:val="restart"/>
            <w:tcBorders>
              <w:top w:val="single" w:color="auto" w:sz="4" w:space="0"/>
              <w:left w:val="single" w:color="auto" w:sz="4" w:space="0"/>
              <w:right w:val="single" w:color="auto" w:sz="4" w:space="0"/>
            </w:tcBorders>
            <w:shd w:val="clear" w:color="auto" w:fill="auto"/>
            <w:vAlign w:val="center"/>
          </w:tcPr>
          <w:p w14:paraId="34848FD8">
            <w:pPr>
              <w:widowControl/>
              <w:autoSpaceDE w:val="0"/>
              <w:autoSpaceDN w:val="0"/>
              <w:spacing w:line="280" w:lineRule="exact"/>
              <w:ind w:firstLine="435"/>
              <w:jc w:val="left"/>
              <w:rPr>
                <w:rFonts w:ascii="Times New Roman" w:hAnsi="Times New Roman" w:eastAsia="仿宋_GB2312"/>
                <w:color w:val="auto"/>
                <w:szCs w:val="21"/>
              </w:rPr>
            </w:pPr>
            <w:r>
              <w:rPr>
                <w:rFonts w:hint="eastAsia" w:ascii="Times New Roman" w:hAnsi="Times New Roman" w:eastAsia="仿宋_GB2312"/>
                <w:color w:val="auto"/>
                <w:szCs w:val="21"/>
              </w:rPr>
              <w:t>建设单位与施工总承包单位应当将工程施工合同保存备查。</w:t>
            </w:r>
          </w:p>
          <w:p w14:paraId="1B0558DC">
            <w:pPr>
              <w:widowControl/>
              <w:autoSpaceDE w:val="0"/>
              <w:autoSpaceDN w:val="0"/>
              <w:spacing w:line="280" w:lineRule="exact"/>
              <w:ind w:firstLine="435"/>
              <w:jc w:val="left"/>
              <w:rPr>
                <w:rFonts w:ascii="Times New Roman" w:hAnsi="Times New Roman" w:eastAsia="仿宋_GB2312"/>
                <w:color w:val="auto"/>
                <w:szCs w:val="21"/>
              </w:rPr>
            </w:pPr>
            <w:r>
              <w:rPr>
                <w:rFonts w:hint="eastAsia" w:ascii="Times New Roman" w:hAnsi="Times New Roman" w:eastAsia="仿宋_GB2312"/>
                <w:color w:val="auto"/>
                <w:szCs w:val="21"/>
              </w:rPr>
              <w:t>第二十六条　施工总承包单位应当按照有关规定开设农民工工资专用账户，专项用于支付该工程建设项目农民工工资。</w:t>
            </w:r>
          </w:p>
          <w:p w14:paraId="1C31439C">
            <w:pPr>
              <w:widowControl/>
              <w:autoSpaceDE w:val="0"/>
              <w:autoSpaceDN w:val="0"/>
              <w:spacing w:line="280" w:lineRule="exact"/>
              <w:ind w:firstLine="435"/>
              <w:jc w:val="left"/>
              <w:rPr>
                <w:rFonts w:ascii="Times New Roman" w:hAnsi="Times New Roman" w:eastAsia="仿宋_GB2312"/>
                <w:color w:val="auto"/>
                <w:szCs w:val="21"/>
              </w:rPr>
            </w:pPr>
            <w:r>
              <w:rPr>
                <w:rFonts w:hint="eastAsia" w:ascii="Times New Roman" w:hAnsi="Times New Roman" w:eastAsia="仿宋_GB2312"/>
                <w:color w:val="auto"/>
                <w:szCs w:val="21"/>
              </w:rPr>
              <w:t>开设、使用农民工工资专用账户有关资料应当由施工总承包单位妥善保存备查。</w:t>
            </w:r>
          </w:p>
          <w:p w14:paraId="76994293">
            <w:pPr>
              <w:widowControl/>
              <w:autoSpaceDE w:val="0"/>
              <w:autoSpaceDN w:val="0"/>
              <w:spacing w:line="280" w:lineRule="exact"/>
              <w:ind w:firstLine="435"/>
              <w:jc w:val="left"/>
              <w:rPr>
                <w:rFonts w:ascii="Times New Roman" w:hAnsi="Times New Roman" w:eastAsia="仿宋_GB2312"/>
                <w:color w:val="auto"/>
                <w:szCs w:val="21"/>
              </w:rPr>
            </w:pPr>
            <w:r>
              <w:rPr>
                <w:rFonts w:hint="eastAsia" w:ascii="Times New Roman" w:hAnsi="Times New Roman" w:eastAsia="仿宋_GB2312"/>
                <w:color w:val="auto"/>
                <w:szCs w:val="21"/>
              </w:rPr>
              <w:t>第二十八条第二款施工总承包单位应当在工程项目部配备劳资专管员，对分包单位劳动用工实施监督管理，掌握施工现场用工、考勤、工资支付等情况，审核分包单位编制的农民工工资支付表，分包单位应当予以配合。</w:t>
            </w:r>
          </w:p>
          <w:p w14:paraId="21D00631">
            <w:pPr>
              <w:widowControl/>
              <w:autoSpaceDE w:val="0"/>
              <w:autoSpaceDN w:val="0"/>
              <w:spacing w:line="280" w:lineRule="exact"/>
              <w:ind w:firstLine="435"/>
              <w:jc w:val="left"/>
              <w:rPr>
                <w:rFonts w:ascii="Times New Roman" w:hAnsi="Times New Roman" w:eastAsia="仿宋_GB2312"/>
                <w:color w:val="auto"/>
                <w:szCs w:val="21"/>
              </w:rPr>
            </w:pPr>
            <w:r>
              <w:rPr>
                <w:rFonts w:hint="eastAsia" w:ascii="Times New Roman" w:hAnsi="Times New Roman" w:eastAsia="仿宋_GB2312"/>
                <w:color w:val="auto"/>
                <w:szCs w:val="21"/>
              </w:rPr>
              <w:t>第二十九条第一款　建设单位应当按照合同约定及时拨付工程款，并将人工费用及时足额拨付至农民工工资专用账户，加强对施工总承包单位按时足额支付农民工工资的监督。</w:t>
            </w:r>
          </w:p>
          <w:p w14:paraId="1064F202">
            <w:pPr>
              <w:widowControl/>
              <w:autoSpaceDE w:val="0"/>
              <w:autoSpaceDN w:val="0"/>
              <w:spacing w:line="280" w:lineRule="exact"/>
              <w:ind w:firstLine="435"/>
              <w:jc w:val="left"/>
              <w:rPr>
                <w:rFonts w:ascii="Times New Roman" w:hAnsi="Times New Roman" w:eastAsia="仿宋_GB2312"/>
                <w:color w:val="auto"/>
                <w:szCs w:val="21"/>
              </w:rPr>
            </w:pPr>
            <w:r>
              <w:rPr>
                <w:rFonts w:hint="eastAsia" w:ascii="Times New Roman" w:hAnsi="Times New Roman" w:eastAsia="仿宋_GB2312"/>
                <w:color w:val="auto"/>
                <w:szCs w:val="21"/>
              </w:rPr>
              <w:t>第三十条　分包单位对所招用农民工的实名制管理和工资支付负直接责任。</w:t>
            </w:r>
          </w:p>
          <w:p w14:paraId="7B2238EC">
            <w:pPr>
              <w:widowControl/>
              <w:autoSpaceDE w:val="0"/>
              <w:autoSpaceDN w:val="0"/>
              <w:spacing w:line="280" w:lineRule="exact"/>
              <w:ind w:firstLine="435"/>
              <w:jc w:val="left"/>
              <w:rPr>
                <w:rFonts w:ascii="Times New Roman" w:hAnsi="Times New Roman" w:eastAsia="仿宋_GB2312"/>
                <w:color w:val="auto"/>
                <w:szCs w:val="21"/>
              </w:rPr>
            </w:pPr>
            <w:r>
              <w:rPr>
                <w:rFonts w:hint="eastAsia" w:ascii="Times New Roman" w:hAnsi="Times New Roman" w:eastAsia="仿宋_GB2312"/>
                <w:color w:val="auto"/>
                <w:szCs w:val="21"/>
              </w:rPr>
              <w:t>施工总承包单位对分包单位劳动用工和工资发放等情况进行监督。</w:t>
            </w:r>
          </w:p>
          <w:p w14:paraId="7EFB8403">
            <w:pPr>
              <w:widowControl/>
              <w:autoSpaceDE w:val="0"/>
              <w:autoSpaceDN w:val="0"/>
              <w:spacing w:line="280" w:lineRule="exact"/>
              <w:ind w:firstLine="435"/>
              <w:jc w:val="left"/>
              <w:rPr>
                <w:rFonts w:ascii="Times New Roman" w:hAnsi="Times New Roman" w:eastAsia="仿宋_GB2312"/>
                <w:color w:val="auto"/>
                <w:szCs w:val="21"/>
              </w:rPr>
            </w:pPr>
            <w:r>
              <w:rPr>
                <w:rFonts w:hint="eastAsia" w:ascii="Times New Roman" w:hAnsi="Times New Roman" w:eastAsia="仿宋_GB2312"/>
                <w:color w:val="auto"/>
                <w:szCs w:val="21"/>
              </w:rPr>
              <w:t>分包单位拖欠农民工工资的，由施工总承包单位先行清偿，再依法进行追偿。</w:t>
            </w:r>
          </w:p>
          <w:p w14:paraId="77A77970">
            <w:pPr>
              <w:widowControl/>
              <w:autoSpaceDE w:val="0"/>
              <w:autoSpaceDN w:val="0"/>
              <w:spacing w:line="280" w:lineRule="exact"/>
              <w:ind w:firstLine="435"/>
              <w:jc w:val="left"/>
              <w:rPr>
                <w:rFonts w:ascii="Times New Roman" w:hAnsi="Times New Roman" w:eastAsia="仿宋_GB2312"/>
                <w:color w:val="auto"/>
                <w:szCs w:val="21"/>
              </w:rPr>
            </w:pPr>
            <w:r>
              <w:rPr>
                <w:rFonts w:hint="eastAsia" w:ascii="Times New Roman" w:hAnsi="Times New Roman" w:eastAsia="仿宋_GB2312"/>
                <w:color w:val="auto"/>
                <w:szCs w:val="21"/>
              </w:rPr>
              <w:t>工程建设项目转包，拖欠农民工工资的，由施工总承包单位先行清偿，再依法进行追偿。</w:t>
            </w:r>
          </w:p>
          <w:p w14:paraId="63A8D534">
            <w:pPr>
              <w:autoSpaceDE w:val="0"/>
              <w:autoSpaceDN w:val="0"/>
              <w:spacing w:line="280" w:lineRule="exact"/>
              <w:jc w:val="left"/>
              <w:rPr>
                <w:rFonts w:ascii="Times New Roman" w:hAnsi="Times New Roman" w:eastAsia="仿宋_GB2312"/>
                <w:color w:val="auto"/>
                <w:szCs w:val="21"/>
              </w:rPr>
            </w:pPr>
            <w:r>
              <w:rPr>
                <w:rFonts w:hint="eastAsia" w:ascii="Times New Roman" w:hAnsi="Times New Roman" w:eastAsia="仿宋_GB2312"/>
                <w:color w:val="auto"/>
                <w:szCs w:val="21"/>
              </w:rPr>
              <w:t>第三十一条第二款分包单位应当按月考核农民工工作量并编制工资支付表，经农民工本人签字确认后，与当月工程进度等情况一并交施工总承包单位。</w:t>
            </w:r>
          </w:p>
          <w:p w14:paraId="21E8F46D">
            <w:pPr>
              <w:widowControl/>
              <w:autoSpaceDE w:val="0"/>
              <w:autoSpaceDN w:val="0"/>
              <w:spacing w:line="280" w:lineRule="exact"/>
              <w:ind w:firstLine="420" w:firstLineChars="200"/>
              <w:jc w:val="left"/>
              <w:rPr>
                <w:rFonts w:ascii="Times New Roman" w:hAnsi="Times New Roman" w:eastAsia="仿宋_GB2312"/>
                <w:color w:val="auto"/>
                <w:szCs w:val="21"/>
              </w:rPr>
            </w:pPr>
            <w:r>
              <w:rPr>
                <w:rFonts w:hint="eastAsia" w:ascii="Times New Roman" w:hAnsi="Times New Roman" w:eastAsia="仿宋_GB2312"/>
                <w:color w:val="auto"/>
                <w:szCs w:val="21"/>
              </w:rPr>
              <w:t>第三十四条　施工总承包单位应当在施工现场醒目位置设立维权信息告示牌，明示下列事项：</w:t>
            </w:r>
          </w:p>
        </w:tc>
        <w:tc>
          <w:tcPr>
            <w:tcW w:w="992" w:type="dxa"/>
            <w:vMerge w:val="restart"/>
            <w:tcBorders>
              <w:top w:val="single" w:color="auto" w:sz="4" w:space="0"/>
              <w:left w:val="single" w:color="auto" w:sz="4" w:space="0"/>
              <w:right w:val="single" w:color="auto" w:sz="4" w:space="0"/>
            </w:tcBorders>
            <w:shd w:val="clear" w:color="auto" w:fill="auto"/>
            <w:vAlign w:val="center"/>
          </w:tcPr>
          <w:p w14:paraId="3E6B7A37">
            <w:pPr>
              <w:widowControl/>
              <w:autoSpaceDE w:val="0"/>
              <w:autoSpaceDN w:val="0"/>
              <w:spacing w:line="280" w:lineRule="exact"/>
              <w:jc w:val="center"/>
              <w:rPr>
                <w:rFonts w:ascii="Times New Roman" w:hAnsi="Times New Roman" w:eastAsia="仿宋_GB2312"/>
                <w:color w:val="auto"/>
                <w:szCs w:val="21"/>
              </w:rPr>
            </w:pPr>
            <w:r>
              <w:rPr>
                <w:rFonts w:hint="eastAsia" w:ascii="Times New Roman" w:hAnsi="Times New Roman" w:eastAsia="仿宋_GB2312"/>
                <w:color w:val="auto"/>
                <w:szCs w:val="21"/>
              </w:rPr>
              <w:t>现场检查，书面检查</w:t>
            </w:r>
          </w:p>
        </w:tc>
        <w:tc>
          <w:tcPr>
            <w:tcW w:w="1139" w:type="dxa"/>
            <w:vMerge w:val="restart"/>
            <w:tcBorders>
              <w:top w:val="single" w:color="auto" w:sz="4" w:space="0"/>
              <w:left w:val="single" w:color="auto" w:sz="4" w:space="0"/>
              <w:right w:val="single" w:color="auto" w:sz="4" w:space="0"/>
            </w:tcBorders>
            <w:shd w:val="clear" w:color="auto" w:fill="auto"/>
            <w:vAlign w:val="center"/>
          </w:tcPr>
          <w:p w14:paraId="021E994E">
            <w:pPr>
              <w:widowControl/>
              <w:autoSpaceDE w:val="0"/>
              <w:autoSpaceDN w:val="0"/>
              <w:spacing w:line="280" w:lineRule="exact"/>
              <w:jc w:val="center"/>
              <w:rPr>
                <w:rFonts w:hint="eastAsia" w:ascii="Times New Roman" w:hAnsi="Times New Roman" w:eastAsia="仿宋_GB2312"/>
                <w:color w:val="auto"/>
                <w:szCs w:val="21"/>
                <w:lang w:val="en-US" w:eastAsia="zh-CN"/>
              </w:rPr>
            </w:pPr>
            <w:r>
              <w:rPr>
                <w:rFonts w:hint="eastAsia" w:ascii="Times New Roman" w:hAnsi="Times New Roman" w:eastAsia="仿宋_GB2312"/>
                <w:color w:val="auto"/>
                <w:szCs w:val="21"/>
                <w:lang w:val="en-US" w:eastAsia="zh-CN"/>
              </w:rPr>
              <w:t>每半年</w:t>
            </w:r>
          </w:p>
          <w:p w14:paraId="06DA2E53">
            <w:pPr>
              <w:widowControl/>
              <w:autoSpaceDE w:val="0"/>
              <w:autoSpaceDN w:val="0"/>
              <w:spacing w:line="280" w:lineRule="exact"/>
              <w:jc w:val="center"/>
              <w:rPr>
                <w:rFonts w:ascii="Times New Roman" w:hAnsi="Times New Roman" w:eastAsia="仿宋_GB2312"/>
                <w:color w:val="auto"/>
                <w:szCs w:val="21"/>
              </w:rPr>
            </w:pPr>
            <w:r>
              <w:rPr>
                <w:rFonts w:hint="eastAsia" w:ascii="Times New Roman" w:hAnsi="Times New Roman" w:eastAsia="仿宋_GB2312"/>
                <w:color w:val="auto"/>
                <w:szCs w:val="21"/>
                <w:lang w:val="en-US" w:eastAsia="zh-CN"/>
              </w:rPr>
              <w:t>1次</w:t>
            </w:r>
          </w:p>
        </w:tc>
        <w:tc>
          <w:tcPr>
            <w:tcW w:w="1491" w:type="dxa"/>
            <w:tcBorders>
              <w:top w:val="single" w:color="auto" w:sz="4" w:space="0"/>
              <w:left w:val="single" w:color="auto" w:sz="4" w:space="0"/>
              <w:bottom w:val="single" w:color="auto" w:sz="4" w:space="0"/>
              <w:right w:val="single" w:color="auto" w:sz="4" w:space="0"/>
            </w:tcBorders>
            <w:shd w:val="clear" w:color="auto" w:fill="auto"/>
            <w:vAlign w:val="center"/>
          </w:tcPr>
          <w:p w14:paraId="448D00E4">
            <w:pPr>
              <w:widowControl/>
              <w:autoSpaceDE w:val="0"/>
              <w:autoSpaceDN w:val="0"/>
              <w:spacing w:line="280" w:lineRule="exact"/>
              <w:jc w:val="center"/>
              <w:rPr>
                <w:rFonts w:ascii="Times New Roman" w:hAnsi="Times New Roman" w:eastAsia="仿宋_GB2312"/>
                <w:color w:val="auto"/>
                <w:szCs w:val="21"/>
              </w:rPr>
            </w:pPr>
            <w:r>
              <w:rPr>
                <w:rFonts w:hint="eastAsia" w:ascii="Times New Roman" w:hAnsi="Times New Roman" w:eastAsia="仿宋_GB2312"/>
                <w:color w:val="auto"/>
                <w:szCs w:val="21"/>
              </w:rPr>
              <w:t>320217888000</w:t>
            </w:r>
          </w:p>
        </w:tc>
        <w:tc>
          <w:tcPr>
            <w:tcW w:w="1481" w:type="dxa"/>
            <w:tcBorders>
              <w:top w:val="single" w:color="auto" w:sz="4" w:space="0"/>
              <w:left w:val="single" w:color="auto" w:sz="4" w:space="0"/>
              <w:bottom w:val="single" w:color="auto" w:sz="4" w:space="0"/>
              <w:right w:val="single" w:color="auto" w:sz="4" w:space="0"/>
            </w:tcBorders>
            <w:shd w:val="clear" w:color="auto" w:fill="auto"/>
            <w:vAlign w:val="center"/>
          </w:tcPr>
          <w:p w14:paraId="4D0C006C">
            <w:pPr>
              <w:widowControl/>
              <w:autoSpaceDE w:val="0"/>
              <w:autoSpaceDN w:val="0"/>
              <w:spacing w:line="280" w:lineRule="exact"/>
              <w:rPr>
                <w:rFonts w:ascii="Times New Roman" w:hAnsi="Times New Roman" w:eastAsia="仿宋_GB2312"/>
                <w:color w:val="auto"/>
                <w:szCs w:val="21"/>
              </w:rPr>
            </w:pPr>
            <w:r>
              <w:rPr>
                <w:rFonts w:hint="eastAsia" w:ascii="Times New Roman" w:hAnsi="Times New Roman" w:eastAsia="仿宋_GB2312"/>
                <w:color w:val="auto"/>
                <w:szCs w:val="21"/>
              </w:rPr>
              <w:t>对分包单位未配合施工总承包单位对其劳动用工进行监督管理的处罚</w:t>
            </w:r>
          </w:p>
        </w:tc>
        <w:tc>
          <w:tcPr>
            <w:tcW w:w="622" w:type="dxa"/>
            <w:tcBorders>
              <w:top w:val="single" w:color="auto" w:sz="4" w:space="0"/>
              <w:left w:val="single" w:color="auto" w:sz="4" w:space="0"/>
              <w:right w:val="single" w:color="auto" w:sz="4" w:space="0"/>
            </w:tcBorders>
            <w:shd w:val="clear" w:color="auto" w:fill="auto"/>
            <w:vAlign w:val="center"/>
          </w:tcPr>
          <w:p w14:paraId="7E0C05FA">
            <w:pPr>
              <w:spacing w:line="280" w:lineRule="exact"/>
              <w:jc w:val="center"/>
              <w:rPr>
                <w:rFonts w:ascii="Times New Roman" w:hAnsi="Times New Roman" w:eastAsia="仿宋_GB2312"/>
                <w:color w:val="auto"/>
                <w:kern w:val="0"/>
                <w:szCs w:val="21"/>
              </w:rPr>
            </w:pPr>
          </w:p>
        </w:tc>
      </w:tr>
      <w:tr w14:paraId="2B7A1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9" w:hRule="atLeast"/>
          <w:jc w:val="center"/>
        </w:trPr>
        <w:tc>
          <w:tcPr>
            <w:tcW w:w="536" w:type="dxa"/>
            <w:vMerge w:val="continue"/>
            <w:tcBorders>
              <w:left w:val="single" w:color="auto" w:sz="4" w:space="0"/>
              <w:right w:val="single" w:color="auto" w:sz="4" w:space="0"/>
            </w:tcBorders>
            <w:shd w:val="clear" w:color="auto" w:fill="auto"/>
            <w:vAlign w:val="center"/>
          </w:tcPr>
          <w:p w14:paraId="46C6AC76">
            <w:pPr>
              <w:widowControl/>
              <w:autoSpaceDE w:val="0"/>
              <w:autoSpaceDN w:val="0"/>
              <w:spacing w:line="280" w:lineRule="exact"/>
              <w:jc w:val="left"/>
              <w:rPr>
                <w:rFonts w:ascii="Times New Roman" w:hAnsi="Times New Roman" w:eastAsia="仿宋_GB2312"/>
                <w:color w:val="auto"/>
                <w:szCs w:val="21"/>
              </w:rPr>
            </w:pPr>
          </w:p>
        </w:tc>
        <w:tc>
          <w:tcPr>
            <w:tcW w:w="1324" w:type="dxa"/>
            <w:vMerge w:val="continue"/>
            <w:tcBorders>
              <w:left w:val="single" w:color="auto" w:sz="4" w:space="0"/>
              <w:right w:val="single" w:color="auto" w:sz="4" w:space="0"/>
            </w:tcBorders>
            <w:shd w:val="clear" w:color="auto" w:fill="auto"/>
            <w:vAlign w:val="center"/>
          </w:tcPr>
          <w:p w14:paraId="07A8C06C">
            <w:pPr>
              <w:widowControl/>
              <w:autoSpaceDE w:val="0"/>
              <w:autoSpaceDN w:val="0"/>
              <w:spacing w:line="280" w:lineRule="exact"/>
              <w:jc w:val="left"/>
              <w:rPr>
                <w:rFonts w:ascii="Times New Roman" w:hAnsi="Times New Roman" w:eastAsia="仿宋_GB2312"/>
                <w:color w:val="auto"/>
                <w:szCs w:val="21"/>
              </w:rPr>
            </w:pPr>
          </w:p>
        </w:tc>
        <w:tc>
          <w:tcPr>
            <w:tcW w:w="794" w:type="dxa"/>
            <w:vMerge w:val="continue"/>
            <w:tcBorders>
              <w:left w:val="single" w:color="auto" w:sz="4" w:space="0"/>
              <w:right w:val="single" w:color="auto" w:sz="4" w:space="0"/>
            </w:tcBorders>
            <w:shd w:val="clear" w:color="auto" w:fill="auto"/>
            <w:vAlign w:val="center"/>
          </w:tcPr>
          <w:p w14:paraId="58F25D37">
            <w:pPr>
              <w:widowControl/>
              <w:autoSpaceDE w:val="0"/>
              <w:autoSpaceDN w:val="0"/>
              <w:spacing w:line="280" w:lineRule="exact"/>
              <w:jc w:val="left"/>
              <w:rPr>
                <w:rFonts w:ascii="Times New Roman" w:hAnsi="Times New Roman" w:eastAsia="仿宋_GB2312"/>
                <w:color w:val="auto"/>
                <w:szCs w:val="21"/>
              </w:rPr>
            </w:pPr>
          </w:p>
        </w:tc>
        <w:tc>
          <w:tcPr>
            <w:tcW w:w="872" w:type="dxa"/>
            <w:vMerge w:val="continue"/>
            <w:tcBorders>
              <w:left w:val="single" w:color="auto" w:sz="4" w:space="0"/>
              <w:right w:val="single" w:color="auto" w:sz="4" w:space="0"/>
            </w:tcBorders>
            <w:shd w:val="clear" w:color="auto" w:fill="auto"/>
            <w:vAlign w:val="center"/>
          </w:tcPr>
          <w:p w14:paraId="2865A313">
            <w:pPr>
              <w:widowControl/>
              <w:autoSpaceDE w:val="0"/>
              <w:autoSpaceDN w:val="0"/>
              <w:spacing w:line="280" w:lineRule="exact"/>
              <w:jc w:val="left"/>
              <w:rPr>
                <w:rFonts w:ascii="Times New Roman" w:hAnsi="Times New Roman" w:eastAsia="仿宋_GB2312"/>
                <w:color w:val="auto"/>
                <w:szCs w:val="21"/>
              </w:rPr>
            </w:pPr>
          </w:p>
        </w:tc>
        <w:tc>
          <w:tcPr>
            <w:tcW w:w="869" w:type="dxa"/>
            <w:vMerge w:val="continue"/>
            <w:tcBorders>
              <w:left w:val="single" w:color="auto" w:sz="4" w:space="0"/>
              <w:right w:val="single" w:color="auto" w:sz="4" w:space="0"/>
            </w:tcBorders>
            <w:shd w:val="clear" w:color="auto" w:fill="auto"/>
            <w:vAlign w:val="center"/>
          </w:tcPr>
          <w:p w14:paraId="6FC55281">
            <w:pPr>
              <w:widowControl/>
              <w:autoSpaceDE w:val="0"/>
              <w:autoSpaceDN w:val="0"/>
              <w:spacing w:line="280" w:lineRule="exact"/>
              <w:jc w:val="left"/>
              <w:rPr>
                <w:rFonts w:ascii="Times New Roman" w:hAnsi="Times New Roman" w:eastAsia="仿宋_GB2312"/>
                <w:color w:val="auto"/>
                <w:szCs w:val="21"/>
              </w:rPr>
            </w:pPr>
          </w:p>
        </w:tc>
        <w:tc>
          <w:tcPr>
            <w:tcW w:w="4962" w:type="dxa"/>
            <w:vMerge w:val="continue"/>
            <w:tcBorders>
              <w:left w:val="single" w:color="auto" w:sz="4" w:space="0"/>
              <w:right w:val="single" w:color="auto" w:sz="4" w:space="0"/>
            </w:tcBorders>
            <w:shd w:val="clear" w:color="auto" w:fill="auto"/>
            <w:vAlign w:val="center"/>
          </w:tcPr>
          <w:p w14:paraId="2F2BE736">
            <w:pPr>
              <w:autoSpaceDE w:val="0"/>
              <w:autoSpaceDN w:val="0"/>
              <w:spacing w:line="280" w:lineRule="exact"/>
              <w:jc w:val="left"/>
              <w:rPr>
                <w:rFonts w:ascii="Times New Roman" w:hAnsi="Times New Roman" w:eastAsia="仿宋_GB2312"/>
                <w:color w:val="auto"/>
                <w:szCs w:val="21"/>
              </w:rPr>
            </w:pPr>
          </w:p>
        </w:tc>
        <w:tc>
          <w:tcPr>
            <w:tcW w:w="992" w:type="dxa"/>
            <w:vMerge w:val="continue"/>
            <w:tcBorders>
              <w:left w:val="single" w:color="auto" w:sz="4" w:space="0"/>
              <w:right w:val="single" w:color="auto" w:sz="4" w:space="0"/>
            </w:tcBorders>
            <w:shd w:val="clear" w:color="auto" w:fill="auto"/>
            <w:vAlign w:val="center"/>
          </w:tcPr>
          <w:p w14:paraId="6764E276">
            <w:pPr>
              <w:widowControl/>
              <w:autoSpaceDE w:val="0"/>
              <w:autoSpaceDN w:val="0"/>
              <w:spacing w:line="280" w:lineRule="exact"/>
              <w:jc w:val="left"/>
              <w:rPr>
                <w:rFonts w:ascii="Times New Roman" w:hAnsi="Times New Roman" w:eastAsia="仿宋_GB2312"/>
                <w:color w:val="auto"/>
                <w:szCs w:val="21"/>
              </w:rPr>
            </w:pPr>
          </w:p>
        </w:tc>
        <w:tc>
          <w:tcPr>
            <w:tcW w:w="1139" w:type="dxa"/>
            <w:vMerge w:val="continue"/>
            <w:tcBorders>
              <w:left w:val="single" w:color="auto" w:sz="4" w:space="0"/>
              <w:right w:val="single" w:color="auto" w:sz="4" w:space="0"/>
            </w:tcBorders>
            <w:shd w:val="clear" w:color="auto" w:fill="auto"/>
            <w:vAlign w:val="center"/>
          </w:tcPr>
          <w:p w14:paraId="73A9641F">
            <w:pPr>
              <w:widowControl/>
              <w:autoSpaceDE w:val="0"/>
              <w:autoSpaceDN w:val="0"/>
              <w:spacing w:line="280" w:lineRule="exact"/>
              <w:jc w:val="center"/>
              <w:rPr>
                <w:rFonts w:ascii="Times New Roman" w:hAnsi="Times New Roman" w:eastAsia="仿宋_GB2312"/>
                <w:color w:val="auto"/>
                <w:szCs w:val="21"/>
              </w:rPr>
            </w:pPr>
          </w:p>
        </w:tc>
        <w:tc>
          <w:tcPr>
            <w:tcW w:w="1491" w:type="dxa"/>
            <w:tcBorders>
              <w:top w:val="single" w:color="auto" w:sz="4" w:space="0"/>
              <w:left w:val="single" w:color="auto" w:sz="4" w:space="0"/>
              <w:bottom w:val="single" w:color="auto" w:sz="4" w:space="0"/>
              <w:right w:val="single" w:color="auto" w:sz="4" w:space="0"/>
            </w:tcBorders>
            <w:shd w:val="clear" w:color="auto" w:fill="auto"/>
            <w:vAlign w:val="center"/>
          </w:tcPr>
          <w:p w14:paraId="33CB7C4A">
            <w:pPr>
              <w:widowControl/>
              <w:autoSpaceDE w:val="0"/>
              <w:autoSpaceDN w:val="0"/>
              <w:spacing w:line="280" w:lineRule="exact"/>
              <w:jc w:val="center"/>
              <w:rPr>
                <w:rFonts w:ascii="Times New Roman" w:hAnsi="Times New Roman" w:eastAsia="仿宋_GB2312"/>
                <w:color w:val="auto"/>
                <w:szCs w:val="21"/>
              </w:rPr>
            </w:pPr>
            <w:r>
              <w:rPr>
                <w:rFonts w:hint="eastAsia" w:ascii="Times New Roman" w:hAnsi="Times New Roman" w:eastAsia="仿宋_GB2312"/>
                <w:color w:val="auto"/>
                <w:szCs w:val="21"/>
              </w:rPr>
              <w:t>320217887000</w:t>
            </w:r>
          </w:p>
        </w:tc>
        <w:tc>
          <w:tcPr>
            <w:tcW w:w="1481" w:type="dxa"/>
            <w:tcBorders>
              <w:top w:val="single" w:color="auto" w:sz="4" w:space="0"/>
              <w:left w:val="single" w:color="auto" w:sz="4" w:space="0"/>
              <w:bottom w:val="single" w:color="auto" w:sz="4" w:space="0"/>
              <w:right w:val="single" w:color="auto" w:sz="4" w:space="0"/>
            </w:tcBorders>
            <w:shd w:val="clear" w:color="auto" w:fill="auto"/>
            <w:vAlign w:val="center"/>
          </w:tcPr>
          <w:p w14:paraId="719DD213">
            <w:pPr>
              <w:widowControl/>
              <w:autoSpaceDE w:val="0"/>
              <w:autoSpaceDN w:val="0"/>
              <w:spacing w:line="280" w:lineRule="exact"/>
              <w:rPr>
                <w:rFonts w:ascii="Times New Roman" w:hAnsi="Times New Roman" w:eastAsia="仿宋_GB2312"/>
                <w:color w:val="auto"/>
                <w:szCs w:val="21"/>
              </w:rPr>
            </w:pPr>
            <w:r>
              <w:rPr>
                <w:rFonts w:hint="eastAsia" w:ascii="Times New Roman" w:hAnsi="Times New Roman" w:eastAsia="仿宋_GB2312"/>
                <w:color w:val="auto"/>
                <w:szCs w:val="21"/>
              </w:rPr>
              <w:t>对施工总承包单位未实行施工现场维权信息公示制度的处罚</w:t>
            </w:r>
          </w:p>
        </w:tc>
        <w:tc>
          <w:tcPr>
            <w:tcW w:w="622" w:type="dxa"/>
            <w:tcBorders>
              <w:left w:val="single" w:color="auto" w:sz="4" w:space="0"/>
              <w:right w:val="single" w:color="auto" w:sz="4" w:space="0"/>
            </w:tcBorders>
            <w:shd w:val="clear" w:color="auto" w:fill="auto"/>
            <w:vAlign w:val="center"/>
          </w:tcPr>
          <w:p w14:paraId="09F59F89">
            <w:pPr>
              <w:spacing w:line="280" w:lineRule="exact"/>
              <w:rPr>
                <w:rFonts w:ascii="Times New Roman" w:hAnsi="Times New Roman" w:eastAsia="仿宋_GB2312"/>
                <w:color w:val="auto"/>
                <w:kern w:val="0"/>
                <w:szCs w:val="21"/>
              </w:rPr>
            </w:pPr>
          </w:p>
        </w:tc>
      </w:tr>
      <w:tr w14:paraId="3F7EB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6" w:hRule="atLeast"/>
          <w:jc w:val="center"/>
        </w:trPr>
        <w:tc>
          <w:tcPr>
            <w:tcW w:w="536" w:type="dxa"/>
            <w:vMerge w:val="continue"/>
            <w:tcBorders>
              <w:left w:val="single" w:color="auto" w:sz="4" w:space="0"/>
              <w:right w:val="single" w:color="auto" w:sz="4" w:space="0"/>
            </w:tcBorders>
            <w:shd w:val="clear" w:color="auto" w:fill="auto"/>
            <w:vAlign w:val="center"/>
          </w:tcPr>
          <w:p w14:paraId="29EC6C44">
            <w:pPr>
              <w:widowControl/>
              <w:autoSpaceDE w:val="0"/>
              <w:autoSpaceDN w:val="0"/>
              <w:spacing w:line="280" w:lineRule="exact"/>
              <w:jc w:val="left"/>
              <w:rPr>
                <w:rFonts w:ascii="Times New Roman" w:hAnsi="Times New Roman" w:eastAsia="仿宋_GB2312"/>
                <w:color w:val="auto"/>
                <w:szCs w:val="21"/>
              </w:rPr>
            </w:pPr>
          </w:p>
        </w:tc>
        <w:tc>
          <w:tcPr>
            <w:tcW w:w="1324" w:type="dxa"/>
            <w:vMerge w:val="continue"/>
            <w:tcBorders>
              <w:left w:val="single" w:color="auto" w:sz="4" w:space="0"/>
              <w:right w:val="single" w:color="auto" w:sz="4" w:space="0"/>
            </w:tcBorders>
            <w:shd w:val="clear" w:color="auto" w:fill="auto"/>
            <w:vAlign w:val="center"/>
          </w:tcPr>
          <w:p w14:paraId="584BDF69">
            <w:pPr>
              <w:widowControl/>
              <w:autoSpaceDE w:val="0"/>
              <w:autoSpaceDN w:val="0"/>
              <w:spacing w:line="280" w:lineRule="exact"/>
              <w:jc w:val="left"/>
              <w:rPr>
                <w:rFonts w:ascii="Times New Roman" w:hAnsi="Times New Roman" w:eastAsia="仿宋_GB2312"/>
                <w:color w:val="auto"/>
                <w:szCs w:val="21"/>
              </w:rPr>
            </w:pPr>
          </w:p>
        </w:tc>
        <w:tc>
          <w:tcPr>
            <w:tcW w:w="794" w:type="dxa"/>
            <w:vMerge w:val="continue"/>
            <w:tcBorders>
              <w:left w:val="single" w:color="auto" w:sz="4" w:space="0"/>
              <w:right w:val="single" w:color="auto" w:sz="4" w:space="0"/>
            </w:tcBorders>
            <w:shd w:val="clear" w:color="auto" w:fill="auto"/>
            <w:vAlign w:val="center"/>
          </w:tcPr>
          <w:p w14:paraId="71BB9328">
            <w:pPr>
              <w:widowControl/>
              <w:autoSpaceDE w:val="0"/>
              <w:autoSpaceDN w:val="0"/>
              <w:spacing w:line="280" w:lineRule="exact"/>
              <w:jc w:val="left"/>
              <w:rPr>
                <w:rFonts w:ascii="Times New Roman" w:hAnsi="Times New Roman" w:eastAsia="仿宋_GB2312"/>
                <w:color w:val="auto"/>
                <w:szCs w:val="21"/>
              </w:rPr>
            </w:pPr>
          </w:p>
        </w:tc>
        <w:tc>
          <w:tcPr>
            <w:tcW w:w="872" w:type="dxa"/>
            <w:vMerge w:val="continue"/>
            <w:tcBorders>
              <w:left w:val="single" w:color="auto" w:sz="4" w:space="0"/>
              <w:right w:val="single" w:color="auto" w:sz="4" w:space="0"/>
            </w:tcBorders>
            <w:shd w:val="clear" w:color="auto" w:fill="auto"/>
            <w:vAlign w:val="center"/>
          </w:tcPr>
          <w:p w14:paraId="530FE25F">
            <w:pPr>
              <w:widowControl/>
              <w:autoSpaceDE w:val="0"/>
              <w:autoSpaceDN w:val="0"/>
              <w:spacing w:line="280" w:lineRule="exact"/>
              <w:jc w:val="left"/>
              <w:rPr>
                <w:rFonts w:ascii="Times New Roman" w:hAnsi="Times New Roman" w:eastAsia="仿宋_GB2312"/>
                <w:color w:val="auto"/>
                <w:szCs w:val="21"/>
              </w:rPr>
            </w:pPr>
          </w:p>
        </w:tc>
        <w:tc>
          <w:tcPr>
            <w:tcW w:w="869" w:type="dxa"/>
            <w:vMerge w:val="continue"/>
            <w:tcBorders>
              <w:left w:val="single" w:color="auto" w:sz="4" w:space="0"/>
              <w:right w:val="single" w:color="auto" w:sz="4" w:space="0"/>
            </w:tcBorders>
            <w:shd w:val="clear" w:color="auto" w:fill="auto"/>
            <w:vAlign w:val="center"/>
          </w:tcPr>
          <w:p w14:paraId="6626ABCD">
            <w:pPr>
              <w:widowControl/>
              <w:autoSpaceDE w:val="0"/>
              <w:autoSpaceDN w:val="0"/>
              <w:spacing w:line="280" w:lineRule="exact"/>
              <w:jc w:val="left"/>
              <w:rPr>
                <w:rFonts w:ascii="Times New Roman" w:hAnsi="Times New Roman" w:eastAsia="仿宋_GB2312"/>
                <w:color w:val="auto"/>
                <w:szCs w:val="21"/>
              </w:rPr>
            </w:pPr>
          </w:p>
        </w:tc>
        <w:tc>
          <w:tcPr>
            <w:tcW w:w="4962" w:type="dxa"/>
            <w:vMerge w:val="continue"/>
            <w:tcBorders>
              <w:left w:val="single" w:color="auto" w:sz="4" w:space="0"/>
              <w:right w:val="single" w:color="auto" w:sz="4" w:space="0"/>
            </w:tcBorders>
            <w:shd w:val="clear" w:color="auto" w:fill="auto"/>
            <w:vAlign w:val="center"/>
          </w:tcPr>
          <w:p w14:paraId="532C2D04">
            <w:pPr>
              <w:autoSpaceDE w:val="0"/>
              <w:autoSpaceDN w:val="0"/>
              <w:spacing w:line="280" w:lineRule="exact"/>
              <w:jc w:val="left"/>
              <w:rPr>
                <w:rFonts w:ascii="Times New Roman" w:hAnsi="Times New Roman" w:eastAsia="仿宋_GB2312"/>
                <w:color w:val="auto"/>
                <w:szCs w:val="21"/>
              </w:rPr>
            </w:pPr>
          </w:p>
        </w:tc>
        <w:tc>
          <w:tcPr>
            <w:tcW w:w="992" w:type="dxa"/>
            <w:vMerge w:val="continue"/>
            <w:tcBorders>
              <w:left w:val="single" w:color="auto" w:sz="4" w:space="0"/>
              <w:right w:val="single" w:color="auto" w:sz="4" w:space="0"/>
            </w:tcBorders>
            <w:shd w:val="clear" w:color="auto" w:fill="auto"/>
            <w:vAlign w:val="center"/>
          </w:tcPr>
          <w:p w14:paraId="6845C138">
            <w:pPr>
              <w:widowControl/>
              <w:autoSpaceDE w:val="0"/>
              <w:autoSpaceDN w:val="0"/>
              <w:spacing w:line="280" w:lineRule="exact"/>
              <w:jc w:val="left"/>
              <w:rPr>
                <w:rFonts w:ascii="Times New Roman" w:hAnsi="Times New Roman" w:eastAsia="仿宋_GB2312"/>
                <w:color w:val="auto"/>
                <w:szCs w:val="21"/>
              </w:rPr>
            </w:pPr>
          </w:p>
        </w:tc>
        <w:tc>
          <w:tcPr>
            <w:tcW w:w="1139" w:type="dxa"/>
            <w:vMerge w:val="continue"/>
            <w:tcBorders>
              <w:left w:val="single" w:color="auto" w:sz="4" w:space="0"/>
              <w:right w:val="single" w:color="auto" w:sz="4" w:space="0"/>
            </w:tcBorders>
            <w:shd w:val="clear" w:color="auto" w:fill="auto"/>
            <w:vAlign w:val="center"/>
          </w:tcPr>
          <w:p w14:paraId="18321A8D">
            <w:pPr>
              <w:widowControl/>
              <w:autoSpaceDE w:val="0"/>
              <w:autoSpaceDN w:val="0"/>
              <w:spacing w:line="280" w:lineRule="exact"/>
              <w:jc w:val="center"/>
              <w:rPr>
                <w:rFonts w:ascii="Times New Roman" w:hAnsi="Times New Roman" w:eastAsia="仿宋_GB2312"/>
                <w:color w:val="auto"/>
                <w:szCs w:val="21"/>
              </w:rPr>
            </w:pPr>
          </w:p>
        </w:tc>
        <w:tc>
          <w:tcPr>
            <w:tcW w:w="1491" w:type="dxa"/>
            <w:tcBorders>
              <w:top w:val="single" w:color="auto" w:sz="4" w:space="0"/>
              <w:left w:val="single" w:color="auto" w:sz="4" w:space="0"/>
              <w:bottom w:val="single" w:color="auto" w:sz="4" w:space="0"/>
              <w:right w:val="single" w:color="auto" w:sz="4" w:space="0"/>
            </w:tcBorders>
            <w:shd w:val="clear" w:color="auto" w:fill="auto"/>
            <w:vAlign w:val="center"/>
          </w:tcPr>
          <w:p w14:paraId="6EFEB554">
            <w:pPr>
              <w:widowControl/>
              <w:autoSpaceDE w:val="0"/>
              <w:autoSpaceDN w:val="0"/>
              <w:spacing w:line="280" w:lineRule="exact"/>
              <w:jc w:val="center"/>
              <w:rPr>
                <w:rFonts w:ascii="Times New Roman" w:hAnsi="Times New Roman" w:eastAsia="仿宋_GB2312"/>
                <w:color w:val="auto"/>
                <w:szCs w:val="21"/>
              </w:rPr>
            </w:pPr>
            <w:r>
              <w:rPr>
                <w:rFonts w:hint="eastAsia" w:ascii="Times New Roman" w:hAnsi="Times New Roman" w:eastAsia="仿宋_GB2312"/>
                <w:color w:val="auto"/>
                <w:szCs w:val="21"/>
              </w:rPr>
              <w:t>320217886000</w:t>
            </w:r>
          </w:p>
        </w:tc>
        <w:tc>
          <w:tcPr>
            <w:tcW w:w="1481" w:type="dxa"/>
            <w:tcBorders>
              <w:top w:val="single" w:color="auto" w:sz="4" w:space="0"/>
              <w:left w:val="single" w:color="auto" w:sz="4" w:space="0"/>
              <w:bottom w:val="single" w:color="auto" w:sz="4" w:space="0"/>
              <w:right w:val="single" w:color="auto" w:sz="4" w:space="0"/>
            </w:tcBorders>
            <w:shd w:val="clear" w:color="auto" w:fill="auto"/>
            <w:vAlign w:val="center"/>
          </w:tcPr>
          <w:p w14:paraId="1951EDB4">
            <w:pPr>
              <w:widowControl/>
              <w:autoSpaceDE w:val="0"/>
              <w:autoSpaceDN w:val="0"/>
              <w:spacing w:line="280" w:lineRule="exact"/>
              <w:rPr>
                <w:rFonts w:ascii="Times New Roman" w:hAnsi="Times New Roman" w:eastAsia="仿宋_GB2312"/>
                <w:color w:val="auto"/>
                <w:szCs w:val="21"/>
              </w:rPr>
            </w:pPr>
            <w:r>
              <w:rPr>
                <w:rFonts w:hint="eastAsia" w:ascii="Times New Roman" w:hAnsi="Times New Roman" w:eastAsia="仿宋_GB2312"/>
                <w:color w:val="auto"/>
                <w:szCs w:val="21"/>
              </w:rPr>
              <w:t>对建设单位未依法提供工程款支付担保的处罚</w:t>
            </w:r>
          </w:p>
        </w:tc>
        <w:tc>
          <w:tcPr>
            <w:tcW w:w="622" w:type="dxa"/>
            <w:tcBorders>
              <w:left w:val="single" w:color="auto" w:sz="4" w:space="0"/>
              <w:right w:val="single" w:color="auto" w:sz="4" w:space="0"/>
            </w:tcBorders>
            <w:shd w:val="clear" w:color="auto" w:fill="auto"/>
            <w:vAlign w:val="center"/>
          </w:tcPr>
          <w:p w14:paraId="4C21C1D4">
            <w:pPr>
              <w:spacing w:line="280" w:lineRule="exact"/>
              <w:rPr>
                <w:rFonts w:ascii="Times New Roman" w:hAnsi="Times New Roman" w:eastAsia="仿宋_GB2312"/>
                <w:color w:val="auto"/>
                <w:kern w:val="0"/>
                <w:szCs w:val="21"/>
              </w:rPr>
            </w:pPr>
          </w:p>
        </w:tc>
      </w:tr>
      <w:tr w14:paraId="264B7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2" w:hRule="atLeast"/>
          <w:jc w:val="center"/>
        </w:trPr>
        <w:tc>
          <w:tcPr>
            <w:tcW w:w="536" w:type="dxa"/>
            <w:vMerge w:val="continue"/>
            <w:tcBorders>
              <w:left w:val="single" w:color="auto" w:sz="4" w:space="0"/>
              <w:right w:val="single" w:color="auto" w:sz="4" w:space="0"/>
            </w:tcBorders>
            <w:shd w:val="clear" w:color="auto" w:fill="auto"/>
            <w:vAlign w:val="center"/>
          </w:tcPr>
          <w:p w14:paraId="64B57117">
            <w:pPr>
              <w:widowControl/>
              <w:autoSpaceDE w:val="0"/>
              <w:autoSpaceDN w:val="0"/>
              <w:spacing w:line="280" w:lineRule="exact"/>
              <w:jc w:val="left"/>
              <w:rPr>
                <w:rFonts w:ascii="Times New Roman" w:hAnsi="Times New Roman" w:eastAsia="仿宋_GB2312"/>
                <w:color w:val="auto"/>
                <w:szCs w:val="21"/>
              </w:rPr>
            </w:pPr>
          </w:p>
        </w:tc>
        <w:tc>
          <w:tcPr>
            <w:tcW w:w="1324" w:type="dxa"/>
            <w:vMerge w:val="continue"/>
            <w:tcBorders>
              <w:left w:val="single" w:color="auto" w:sz="4" w:space="0"/>
              <w:right w:val="single" w:color="auto" w:sz="4" w:space="0"/>
            </w:tcBorders>
            <w:shd w:val="clear" w:color="auto" w:fill="auto"/>
            <w:vAlign w:val="center"/>
          </w:tcPr>
          <w:p w14:paraId="189BB8FA">
            <w:pPr>
              <w:widowControl/>
              <w:autoSpaceDE w:val="0"/>
              <w:autoSpaceDN w:val="0"/>
              <w:spacing w:line="280" w:lineRule="exact"/>
              <w:jc w:val="left"/>
              <w:rPr>
                <w:rFonts w:ascii="Times New Roman" w:hAnsi="Times New Roman" w:eastAsia="仿宋_GB2312"/>
                <w:color w:val="auto"/>
                <w:szCs w:val="21"/>
              </w:rPr>
            </w:pPr>
          </w:p>
        </w:tc>
        <w:tc>
          <w:tcPr>
            <w:tcW w:w="794" w:type="dxa"/>
            <w:vMerge w:val="continue"/>
            <w:tcBorders>
              <w:left w:val="single" w:color="auto" w:sz="4" w:space="0"/>
              <w:right w:val="single" w:color="auto" w:sz="4" w:space="0"/>
            </w:tcBorders>
            <w:shd w:val="clear" w:color="auto" w:fill="auto"/>
            <w:vAlign w:val="center"/>
          </w:tcPr>
          <w:p w14:paraId="3AF6C999">
            <w:pPr>
              <w:widowControl/>
              <w:autoSpaceDE w:val="0"/>
              <w:autoSpaceDN w:val="0"/>
              <w:spacing w:line="280" w:lineRule="exact"/>
              <w:jc w:val="left"/>
              <w:rPr>
                <w:rFonts w:ascii="Times New Roman" w:hAnsi="Times New Roman" w:eastAsia="仿宋_GB2312"/>
                <w:color w:val="auto"/>
                <w:szCs w:val="21"/>
              </w:rPr>
            </w:pPr>
          </w:p>
        </w:tc>
        <w:tc>
          <w:tcPr>
            <w:tcW w:w="872" w:type="dxa"/>
            <w:vMerge w:val="continue"/>
            <w:tcBorders>
              <w:left w:val="single" w:color="auto" w:sz="4" w:space="0"/>
              <w:right w:val="single" w:color="auto" w:sz="4" w:space="0"/>
            </w:tcBorders>
            <w:shd w:val="clear" w:color="auto" w:fill="auto"/>
            <w:vAlign w:val="center"/>
          </w:tcPr>
          <w:p w14:paraId="73C666C6">
            <w:pPr>
              <w:widowControl/>
              <w:autoSpaceDE w:val="0"/>
              <w:autoSpaceDN w:val="0"/>
              <w:spacing w:line="280" w:lineRule="exact"/>
              <w:jc w:val="left"/>
              <w:rPr>
                <w:rFonts w:ascii="Times New Roman" w:hAnsi="Times New Roman" w:eastAsia="仿宋_GB2312"/>
                <w:color w:val="auto"/>
                <w:szCs w:val="21"/>
              </w:rPr>
            </w:pPr>
          </w:p>
        </w:tc>
        <w:tc>
          <w:tcPr>
            <w:tcW w:w="869" w:type="dxa"/>
            <w:vMerge w:val="continue"/>
            <w:tcBorders>
              <w:left w:val="single" w:color="auto" w:sz="4" w:space="0"/>
              <w:right w:val="single" w:color="auto" w:sz="4" w:space="0"/>
            </w:tcBorders>
            <w:shd w:val="clear" w:color="auto" w:fill="auto"/>
            <w:vAlign w:val="center"/>
          </w:tcPr>
          <w:p w14:paraId="38AC43DC">
            <w:pPr>
              <w:widowControl/>
              <w:autoSpaceDE w:val="0"/>
              <w:autoSpaceDN w:val="0"/>
              <w:spacing w:line="280" w:lineRule="exact"/>
              <w:jc w:val="left"/>
              <w:rPr>
                <w:rFonts w:ascii="Times New Roman" w:hAnsi="Times New Roman" w:eastAsia="仿宋_GB2312"/>
                <w:color w:val="auto"/>
                <w:szCs w:val="21"/>
              </w:rPr>
            </w:pPr>
          </w:p>
        </w:tc>
        <w:tc>
          <w:tcPr>
            <w:tcW w:w="4962" w:type="dxa"/>
            <w:vMerge w:val="continue"/>
            <w:tcBorders>
              <w:left w:val="single" w:color="auto" w:sz="4" w:space="0"/>
              <w:right w:val="single" w:color="auto" w:sz="4" w:space="0"/>
            </w:tcBorders>
            <w:shd w:val="clear" w:color="auto" w:fill="auto"/>
            <w:vAlign w:val="center"/>
          </w:tcPr>
          <w:p w14:paraId="5816B87C">
            <w:pPr>
              <w:autoSpaceDE w:val="0"/>
              <w:autoSpaceDN w:val="0"/>
              <w:spacing w:line="280" w:lineRule="exact"/>
              <w:jc w:val="left"/>
              <w:rPr>
                <w:rFonts w:ascii="Times New Roman" w:hAnsi="Times New Roman" w:eastAsia="仿宋_GB2312"/>
                <w:color w:val="auto"/>
                <w:szCs w:val="21"/>
              </w:rPr>
            </w:pPr>
          </w:p>
        </w:tc>
        <w:tc>
          <w:tcPr>
            <w:tcW w:w="992" w:type="dxa"/>
            <w:vMerge w:val="continue"/>
            <w:tcBorders>
              <w:left w:val="single" w:color="auto" w:sz="4" w:space="0"/>
              <w:right w:val="single" w:color="auto" w:sz="4" w:space="0"/>
            </w:tcBorders>
            <w:shd w:val="clear" w:color="auto" w:fill="auto"/>
            <w:vAlign w:val="center"/>
          </w:tcPr>
          <w:p w14:paraId="3B26787F">
            <w:pPr>
              <w:widowControl/>
              <w:autoSpaceDE w:val="0"/>
              <w:autoSpaceDN w:val="0"/>
              <w:spacing w:line="280" w:lineRule="exact"/>
              <w:jc w:val="left"/>
              <w:rPr>
                <w:rFonts w:ascii="Times New Roman" w:hAnsi="Times New Roman" w:eastAsia="仿宋_GB2312"/>
                <w:color w:val="auto"/>
                <w:szCs w:val="21"/>
              </w:rPr>
            </w:pPr>
          </w:p>
        </w:tc>
        <w:tc>
          <w:tcPr>
            <w:tcW w:w="1139" w:type="dxa"/>
            <w:vMerge w:val="continue"/>
            <w:tcBorders>
              <w:left w:val="single" w:color="auto" w:sz="4" w:space="0"/>
              <w:right w:val="single" w:color="auto" w:sz="4" w:space="0"/>
            </w:tcBorders>
            <w:shd w:val="clear" w:color="auto" w:fill="auto"/>
            <w:vAlign w:val="center"/>
          </w:tcPr>
          <w:p w14:paraId="2D73B8C6">
            <w:pPr>
              <w:widowControl/>
              <w:autoSpaceDE w:val="0"/>
              <w:autoSpaceDN w:val="0"/>
              <w:spacing w:line="280" w:lineRule="exact"/>
              <w:jc w:val="center"/>
              <w:rPr>
                <w:rFonts w:ascii="Times New Roman" w:hAnsi="Times New Roman" w:eastAsia="仿宋_GB2312"/>
                <w:color w:val="auto"/>
                <w:szCs w:val="21"/>
              </w:rPr>
            </w:pPr>
          </w:p>
        </w:tc>
        <w:tc>
          <w:tcPr>
            <w:tcW w:w="1491" w:type="dxa"/>
            <w:tcBorders>
              <w:top w:val="single" w:color="auto" w:sz="4" w:space="0"/>
              <w:left w:val="single" w:color="auto" w:sz="4" w:space="0"/>
              <w:bottom w:val="single" w:color="auto" w:sz="4" w:space="0"/>
              <w:right w:val="single" w:color="auto" w:sz="4" w:space="0"/>
            </w:tcBorders>
            <w:shd w:val="clear" w:color="auto" w:fill="auto"/>
            <w:vAlign w:val="center"/>
          </w:tcPr>
          <w:p w14:paraId="1BF7F40E">
            <w:pPr>
              <w:widowControl/>
              <w:autoSpaceDE w:val="0"/>
              <w:autoSpaceDN w:val="0"/>
              <w:spacing w:line="280" w:lineRule="exact"/>
              <w:jc w:val="center"/>
              <w:rPr>
                <w:rFonts w:ascii="Times New Roman" w:hAnsi="Times New Roman" w:eastAsia="仿宋_GB2312"/>
                <w:color w:val="auto"/>
                <w:szCs w:val="21"/>
              </w:rPr>
            </w:pPr>
            <w:r>
              <w:rPr>
                <w:rFonts w:hint="eastAsia" w:ascii="Times New Roman" w:hAnsi="Times New Roman" w:eastAsia="仿宋_GB2312"/>
                <w:color w:val="auto"/>
                <w:szCs w:val="21"/>
              </w:rPr>
              <w:t>320217885000</w:t>
            </w:r>
          </w:p>
        </w:tc>
        <w:tc>
          <w:tcPr>
            <w:tcW w:w="1481" w:type="dxa"/>
            <w:tcBorders>
              <w:top w:val="single" w:color="auto" w:sz="4" w:space="0"/>
              <w:left w:val="single" w:color="auto" w:sz="4" w:space="0"/>
              <w:bottom w:val="single" w:color="auto" w:sz="4" w:space="0"/>
              <w:right w:val="single" w:color="auto" w:sz="4" w:space="0"/>
            </w:tcBorders>
            <w:shd w:val="clear" w:color="auto" w:fill="auto"/>
            <w:vAlign w:val="center"/>
          </w:tcPr>
          <w:p w14:paraId="3650B191">
            <w:pPr>
              <w:widowControl/>
              <w:autoSpaceDE w:val="0"/>
              <w:autoSpaceDN w:val="0"/>
              <w:spacing w:line="280" w:lineRule="exact"/>
              <w:rPr>
                <w:rFonts w:ascii="Times New Roman" w:hAnsi="Times New Roman" w:eastAsia="仿宋_GB2312"/>
                <w:color w:val="auto"/>
                <w:szCs w:val="21"/>
              </w:rPr>
            </w:pPr>
            <w:r>
              <w:rPr>
                <w:rFonts w:hint="eastAsia" w:ascii="Times New Roman" w:hAnsi="Times New Roman" w:eastAsia="仿宋_GB2312"/>
                <w:color w:val="auto"/>
                <w:szCs w:val="21"/>
              </w:rPr>
              <w:t>对施工总承包单位未对分包单位劳动用工实施监督管理的处罚</w:t>
            </w:r>
          </w:p>
        </w:tc>
        <w:tc>
          <w:tcPr>
            <w:tcW w:w="622" w:type="dxa"/>
            <w:tcBorders>
              <w:left w:val="single" w:color="auto" w:sz="4" w:space="0"/>
              <w:right w:val="single" w:color="auto" w:sz="4" w:space="0"/>
            </w:tcBorders>
            <w:shd w:val="clear" w:color="auto" w:fill="auto"/>
            <w:vAlign w:val="center"/>
          </w:tcPr>
          <w:p w14:paraId="0443C224">
            <w:pPr>
              <w:spacing w:line="280" w:lineRule="exact"/>
              <w:rPr>
                <w:rFonts w:ascii="Times New Roman" w:hAnsi="Times New Roman" w:eastAsia="仿宋_GB2312"/>
                <w:color w:val="auto"/>
                <w:kern w:val="0"/>
                <w:szCs w:val="21"/>
              </w:rPr>
            </w:pPr>
          </w:p>
        </w:tc>
      </w:tr>
      <w:tr w14:paraId="172029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6" w:type="dxa"/>
            <w:vMerge w:val="continue"/>
            <w:tcBorders>
              <w:left w:val="single" w:color="auto" w:sz="4" w:space="0"/>
              <w:bottom w:val="single" w:color="auto" w:sz="4" w:space="0"/>
              <w:right w:val="single" w:color="auto" w:sz="4" w:space="0"/>
            </w:tcBorders>
            <w:shd w:val="clear" w:color="auto" w:fill="auto"/>
            <w:vAlign w:val="center"/>
          </w:tcPr>
          <w:p w14:paraId="4233016C">
            <w:pPr>
              <w:widowControl/>
              <w:autoSpaceDE w:val="0"/>
              <w:autoSpaceDN w:val="0"/>
              <w:spacing w:line="280" w:lineRule="exact"/>
              <w:jc w:val="left"/>
              <w:rPr>
                <w:rFonts w:ascii="Times New Roman" w:hAnsi="Times New Roman" w:eastAsia="仿宋_GB2312"/>
                <w:color w:val="auto"/>
                <w:szCs w:val="21"/>
              </w:rPr>
            </w:pPr>
          </w:p>
        </w:tc>
        <w:tc>
          <w:tcPr>
            <w:tcW w:w="1324" w:type="dxa"/>
            <w:vMerge w:val="continue"/>
            <w:tcBorders>
              <w:left w:val="single" w:color="auto" w:sz="4" w:space="0"/>
              <w:bottom w:val="single" w:color="auto" w:sz="4" w:space="0"/>
              <w:right w:val="single" w:color="auto" w:sz="4" w:space="0"/>
            </w:tcBorders>
            <w:shd w:val="clear" w:color="auto" w:fill="auto"/>
            <w:vAlign w:val="center"/>
          </w:tcPr>
          <w:p w14:paraId="049CD344">
            <w:pPr>
              <w:widowControl/>
              <w:autoSpaceDE w:val="0"/>
              <w:autoSpaceDN w:val="0"/>
              <w:spacing w:line="280" w:lineRule="exact"/>
              <w:jc w:val="left"/>
              <w:rPr>
                <w:rFonts w:ascii="Times New Roman" w:hAnsi="Times New Roman" w:eastAsia="仿宋_GB2312"/>
                <w:color w:val="auto"/>
                <w:szCs w:val="21"/>
              </w:rPr>
            </w:pPr>
          </w:p>
        </w:tc>
        <w:tc>
          <w:tcPr>
            <w:tcW w:w="794" w:type="dxa"/>
            <w:vMerge w:val="continue"/>
            <w:tcBorders>
              <w:left w:val="single" w:color="auto" w:sz="4" w:space="0"/>
              <w:bottom w:val="single" w:color="auto" w:sz="4" w:space="0"/>
              <w:right w:val="single" w:color="auto" w:sz="4" w:space="0"/>
            </w:tcBorders>
            <w:shd w:val="clear" w:color="auto" w:fill="auto"/>
            <w:vAlign w:val="center"/>
          </w:tcPr>
          <w:p w14:paraId="1ABE13CE">
            <w:pPr>
              <w:widowControl/>
              <w:autoSpaceDE w:val="0"/>
              <w:autoSpaceDN w:val="0"/>
              <w:spacing w:line="280" w:lineRule="exact"/>
              <w:jc w:val="left"/>
              <w:rPr>
                <w:rFonts w:ascii="Times New Roman" w:hAnsi="Times New Roman" w:eastAsia="仿宋_GB2312"/>
                <w:color w:val="auto"/>
                <w:szCs w:val="21"/>
              </w:rPr>
            </w:pPr>
          </w:p>
        </w:tc>
        <w:tc>
          <w:tcPr>
            <w:tcW w:w="872" w:type="dxa"/>
            <w:vMerge w:val="continue"/>
            <w:tcBorders>
              <w:left w:val="single" w:color="auto" w:sz="4" w:space="0"/>
              <w:bottom w:val="single" w:color="auto" w:sz="4" w:space="0"/>
              <w:right w:val="single" w:color="auto" w:sz="4" w:space="0"/>
            </w:tcBorders>
            <w:shd w:val="clear" w:color="auto" w:fill="auto"/>
            <w:vAlign w:val="center"/>
          </w:tcPr>
          <w:p w14:paraId="1B48E808">
            <w:pPr>
              <w:widowControl/>
              <w:autoSpaceDE w:val="0"/>
              <w:autoSpaceDN w:val="0"/>
              <w:spacing w:line="280" w:lineRule="exact"/>
              <w:jc w:val="left"/>
              <w:rPr>
                <w:rFonts w:ascii="Times New Roman" w:hAnsi="Times New Roman" w:eastAsia="仿宋_GB2312"/>
                <w:color w:val="auto"/>
                <w:szCs w:val="21"/>
              </w:rPr>
            </w:pPr>
          </w:p>
        </w:tc>
        <w:tc>
          <w:tcPr>
            <w:tcW w:w="869" w:type="dxa"/>
            <w:vMerge w:val="continue"/>
            <w:tcBorders>
              <w:left w:val="single" w:color="auto" w:sz="4" w:space="0"/>
              <w:bottom w:val="single" w:color="auto" w:sz="4" w:space="0"/>
              <w:right w:val="single" w:color="auto" w:sz="4" w:space="0"/>
            </w:tcBorders>
            <w:shd w:val="clear" w:color="auto" w:fill="auto"/>
            <w:vAlign w:val="center"/>
          </w:tcPr>
          <w:p w14:paraId="1035B8E5">
            <w:pPr>
              <w:widowControl/>
              <w:autoSpaceDE w:val="0"/>
              <w:autoSpaceDN w:val="0"/>
              <w:spacing w:line="280" w:lineRule="exact"/>
              <w:jc w:val="left"/>
              <w:rPr>
                <w:rFonts w:ascii="Times New Roman" w:hAnsi="Times New Roman" w:eastAsia="仿宋_GB2312"/>
                <w:color w:val="auto"/>
                <w:szCs w:val="21"/>
              </w:rPr>
            </w:pPr>
          </w:p>
        </w:tc>
        <w:tc>
          <w:tcPr>
            <w:tcW w:w="4962" w:type="dxa"/>
            <w:vMerge w:val="continue"/>
            <w:tcBorders>
              <w:left w:val="single" w:color="auto" w:sz="4" w:space="0"/>
              <w:bottom w:val="single" w:color="auto" w:sz="4" w:space="0"/>
              <w:right w:val="single" w:color="auto" w:sz="4" w:space="0"/>
            </w:tcBorders>
            <w:shd w:val="clear" w:color="auto" w:fill="auto"/>
            <w:vAlign w:val="center"/>
          </w:tcPr>
          <w:p w14:paraId="161629D7">
            <w:pPr>
              <w:widowControl/>
              <w:autoSpaceDE w:val="0"/>
              <w:autoSpaceDN w:val="0"/>
              <w:spacing w:line="280" w:lineRule="exact"/>
              <w:jc w:val="left"/>
              <w:rPr>
                <w:rFonts w:ascii="Times New Roman" w:hAnsi="Times New Roman" w:eastAsia="仿宋_GB2312"/>
                <w:color w:val="auto"/>
                <w:szCs w:val="21"/>
              </w:rPr>
            </w:pPr>
          </w:p>
        </w:tc>
        <w:tc>
          <w:tcPr>
            <w:tcW w:w="992" w:type="dxa"/>
            <w:vMerge w:val="continue"/>
            <w:tcBorders>
              <w:left w:val="single" w:color="auto" w:sz="4" w:space="0"/>
              <w:bottom w:val="single" w:color="auto" w:sz="4" w:space="0"/>
              <w:right w:val="single" w:color="auto" w:sz="4" w:space="0"/>
            </w:tcBorders>
            <w:shd w:val="clear" w:color="auto" w:fill="auto"/>
            <w:vAlign w:val="center"/>
          </w:tcPr>
          <w:p w14:paraId="2C2D92F2">
            <w:pPr>
              <w:widowControl/>
              <w:autoSpaceDE w:val="0"/>
              <w:autoSpaceDN w:val="0"/>
              <w:spacing w:line="280" w:lineRule="exact"/>
              <w:jc w:val="left"/>
              <w:rPr>
                <w:rFonts w:ascii="Times New Roman" w:hAnsi="Times New Roman" w:eastAsia="仿宋_GB2312"/>
                <w:color w:val="auto"/>
                <w:szCs w:val="21"/>
              </w:rPr>
            </w:pPr>
          </w:p>
        </w:tc>
        <w:tc>
          <w:tcPr>
            <w:tcW w:w="1139" w:type="dxa"/>
            <w:vMerge w:val="continue"/>
            <w:tcBorders>
              <w:left w:val="single" w:color="auto" w:sz="4" w:space="0"/>
              <w:bottom w:val="single" w:color="auto" w:sz="4" w:space="0"/>
              <w:right w:val="single" w:color="auto" w:sz="4" w:space="0"/>
            </w:tcBorders>
            <w:shd w:val="clear" w:color="auto" w:fill="auto"/>
            <w:vAlign w:val="center"/>
          </w:tcPr>
          <w:p w14:paraId="6498F78A">
            <w:pPr>
              <w:widowControl/>
              <w:autoSpaceDE w:val="0"/>
              <w:autoSpaceDN w:val="0"/>
              <w:spacing w:line="280" w:lineRule="exact"/>
              <w:jc w:val="center"/>
              <w:rPr>
                <w:rFonts w:ascii="Times New Roman" w:hAnsi="Times New Roman" w:eastAsia="仿宋_GB2312"/>
                <w:color w:val="auto"/>
                <w:szCs w:val="21"/>
              </w:rPr>
            </w:pPr>
          </w:p>
        </w:tc>
        <w:tc>
          <w:tcPr>
            <w:tcW w:w="1491" w:type="dxa"/>
            <w:tcBorders>
              <w:top w:val="single" w:color="auto" w:sz="4" w:space="0"/>
              <w:left w:val="single" w:color="auto" w:sz="4" w:space="0"/>
              <w:bottom w:val="single" w:color="auto" w:sz="4" w:space="0"/>
              <w:right w:val="single" w:color="auto" w:sz="4" w:space="0"/>
            </w:tcBorders>
            <w:shd w:val="clear" w:color="auto" w:fill="auto"/>
            <w:vAlign w:val="center"/>
          </w:tcPr>
          <w:p w14:paraId="364DDE1B">
            <w:pPr>
              <w:widowControl/>
              <w:autoSpaceDE w:val="0"/>
              <w:autoSpaceDN w:val="0"/>
              <w:spacing w:line="280" w:lineRule="exact"/>
              <w:jc w:val="center"/>
              <w:rPr>
                <w:rFonts w:ascii="Times New Roman" w:hAnsi="Times New Roman" w:eastAsia="仿宋_GB2312"/>
                <w:color w:val="auto"/>
                <w:szCs w:val="21"/>
              </w:rPr>
            </w:pPr>
            <w:r>
              <w:rPr>
                <w:rFonts w:hint="eastAsia" w:ascii="Times New Roman" w:hAnsi="Times New Roman" w:eastAsia="仿宋_GB2312"/>
                <w:color w:val="auto"/>
                <w:szCs w:val="21"/>
              </w:rPr>
              <w:t>320217884000</w:t>
            </w:r>
          </w:p>
        </w:tc>
        <w:tc>
          <w:tcPr>
            <w:tcW w:w="1481" w:type="dxa"/>
            <w:tcBorders>
              <w:top w:val="single" w:color="auto" w:sz="4" w:space="0"/>
              <w:left w:val="single" w:color="auto" w:sz="4" w:space="0"/>
              <w:bottom w:val="single" w:color="auto" w:sz="4" w:space="0"/>
              <w:right w:val="single" w:color="auto" w:sz="4" w:space="0"/>
            </w:tcBorders>
            <w:shd w:val="clear" w:color="auto" w:fill="auto"/>
            <w:vAlign w:val="center"/>
          </w:tcPr>
          <w:p w14:paraId="6EF6BC8B">
            <w:pPr>
              <w:widowControl/>
              <w:autoSpaceDE w:val="0"/>
              <w:autoSpaceDN w:val="0"/>
              <w:spacing w:line="280" w:lineRule="exact"/>
              <w:rPr>
                <w:rFonts w:ascii="Times New Roman" w:hAnsi="Times New Roman" w:eastAsia="仿宋_GB2312"/>
                <w:color w:val="auto"/>
                <w:szCs w:val="21"/>
              </w:rPr>
            </w:pPr>
            <w:r>
              <w:rPr>
                <w:rFonts w:hint="eastAsia" w:ascii="Times New Roman" w:hAnsi="Times New Roman" w:eastAsia="仿宋_GB2312"/>
                <w:color w:val="auto"/>
                <w:szCs w:val="21"/>
              </w:rPr>
              <w:t>对建设单位未按约定及时足额向农民工工资专用账户拨付工程款中的人工费用的处罚</w:t>
            </w:r>
          </w:p>
        </w:tc>
        <w:tc>
          <w:tcPr>
            <w:tcW w:w="622" w:type="dxa"/>
            <w:tcBorders>
              <w:left w:val="single" w:color="auto" w:sz="4" w:space="0"/>
              <w:bottom w:val="single" w:color="auto" w:sz="4" w:space="0"/>
              <w:right w:val="single" w:color="auto" w:sz="4" w:space="0"/>
            </w:tcBorders>
            <w:shd w:val="clear" w:color="auto" w:fill="auto"/>
            <w:vAlign w:val="center"/>
          </w:tcPr>
          <w:p w14:paraId="47B831F9">
            <w:pPr>
              <w:spacing w:line="280" w:lineRule="exact"/>
              <w:rPr>
                <w:rFonts w:ascii="Times New Roman" w:hAnsi="Times New Roman" w:eastAsia="仿宋_GB2312"/>
                <w:color w:val="auto"/>
                <w:kern w:val="0"/>
                <w:szCs w:val="21"/>
              </w:rPr>
            </w:pPr>
          </w:p>
        </w:tc>
      </w:tr>
      <w:tr w14:paraId="55D53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1" w:hRule="atLeast"/>
          <w:jc w:val="center"/>
        </w:trPr>
        <w:tc>
          <w:tcPr>
            <w:tcW w:w="536" w:type="dxa"/>
            <w:tcBorders>
              <w:top w:val="single" w:color="auto" w:sz="4" w:space="0"/>
              <w:left w:val="single" w:color="auto" w:sz="4" w:space="0"/>
              <w:bottom w:val="single" w:color="auto" w:sz="4" w:space="0"/>
              <w:right w:val="single" w:color="auto" w:sz="4" w:space="0"/>
            </w:tcBorders>
            <w:shd w:val="clear" w:color="auto" w:fill="auto"/>
            <w:vAlign w:val="center"/>
          </w:tcPr>
          <w:p w14:paraId="263763A9">
            <w:pPr>
              <w:widowControl/>
              <w:autoSpaceDE w:val="0"/>
              <w:autoSpaceDN w:val="0"/>
              <w:spacing w:line="280" w:lineRule="exact"/>
              <w:jc w:val="center"/>
              <w:rPr>
                <w:rFonts w:ascii="Times New Roman" w:hAnsi="Times New Roman" w:eastAsia="仿宋_GB2312"/>
                <w:color w:val="auto"/>
                <w:szCs w:val="21"/>
              </w:rPr>
            </w:pPr>
            <w:r>
              <w:rPr>
                <w:rFonts w:hint="eastAsia" w:ascii="Times New Roman" w:hAnsi="Times New Roman" w:eastAsia="仿宋_GB2312"/>
                <w:color w:val="auto"/>
                <w:szCs w:val="21"/>
              </w:rPr>
              <w:t>6</w:t>
            </w:r>
          </w:p>
        </w:tc>
        <w:tc>
          <w:tcPr>
            <w:tcW w:w="1324" w:type="dxa"/>
            <w:tcBorders>
              <w:top w:val="single" w:color="auto" w:sz="4" w:space="0"/>
              <w:left w:val="single" w:color="auto" w:sz="4" w:space="0"/>
              <w:bottom w:val="single" w:color="auto" w:sz="4" w:space="0"/>
              <w:right w:val="single" w:color="auto" w:sz="4" w:space="0"/>
            </w:tcBorders>
            <w:shd w:val="clear" w:color="auto" w:fill="auto"/>
            <w:vAlign w:val="center"/>
          </w:tcPr>
          <w:p w14:paraId="56A6CBF7">
            <w:pPr>
              <w:widowControl/>
              <w:autoSpaceDE w:val="0"/>
              <w:autoSpaceDN w:val="0"/>
              <w:spacing w:line="280" w:lineRule="exact"/>
              <w:jc w:val="left"/>
              <w:rPr>
                <w:rFonts w:ascii="Times New Roman" w:hAnsi="Times New Roman" w:eastAsia="仿宋_GB2312"/>
                <w:color w:val="auto"/>
                <w:szCs w:val="21"/>
              </w:rPr>
            </w:pPr>
            <w:r>
              <w:rPr>
                <w:rFonts w:hint="eastAsia" w:ascii="Times New Roman" w:hAnsi="Times New Roman" w:eastAsia="仿宋_GB2312"/>
                <w:color w:val="auto"/>
                <w:szCs w:val="21"/>
              </w:rPr>
              <w:t>在建项目保障农民工工资支付情况检查</w:t>
            </w:r>
          </w:p>
        </w:tc>
        <w:tc>
          <w:tcPr>
            <w:tcW w:w="794" w:type="dxa"/>
            <w:tcBorders>
              <w:top w:val="single" w:color="auto" w:sz="4" w:space="0"/>
              <w:left w:val="single" w:color="auto" w:sz="4" w:space="0"/>
              <w:bottom w:val="single" w:color="auto" w:sz="4" w:space="0"/>
              <w:right w:val="single" w:color="auto" w:sz="4" w:space="0"/>
            </w:tcBorders>
            <w:shd w:val="clear" w:color="auto" w:fill="auto"/>
            <w:vAlign w:val="center"/>
          </w:tcPr>
          <w:p w14:paraId="166012B6">
            <w:pPr>
              <w:widowControl/>
              <w:autoSpaceDE w:val="0"/>
              <w:autoSpaceDN w:val="0"/>
              <w:spacing w:line="280" w:lineRule="exact"/>
              <w:jc w:val="center"/>
              <w:rPr>
                <w:rFonts w:ascii="Times New Roman" w:hAnsi="Times New Roman" w:eastAsia="仿宋_GB2312"/>
                <w:color w:val="auto"/>
                <w:szCs w:val="21"/>
              </w:rPr>
            </w:pPr>
            <w:r>
              <w:rPr>
                <w:rFonts w:hint="eastAsia" w:ascii="Times New Roman" w:hAnsi="Times New Roman" w:eastAsia="仿宋_GB2312"/>
                <w:color w:val="auto"/>
                <w:szCs w:val="21"/>
              </w:rPr>
              <w:t>苏州市相城区住房和城乡建设局</w:t>
            </w:r>
          </w:p>
        </w:tc>
        <w:tc>
          <w:tcPr>
            <w:tcW w:w="872" w:type="dxa"/>
            <w:tcBorders>
              <w:top w:val="single" w:color="auto" w:sz="4" w:space="0"/>
              <w:left w:val="single" w:color="auto" w:sz="4" w:space="0"/>
              <w:bottom w:val="single" w:color="auto" w:sz="4" w:space="0"/>
              <w:right w:val="single" w:color="auto" w:sz="4" w:space="0"/>
            </w:tcBorders>
            <w:shd w:val="clear" w:color="auto" w:fill="auto"/>
            <w:vAlign w:val="center"/>
          </w:tcPr>
          <w:p w14:paraId="7DDFF94B">
            <w:pPr>
              <w:widowControl/>
              <w:autoSpaceDE w:val="0"/>
              <w:autoSpaceDN w:val="0"/>
              <w:spacing w:line="280" w:lineRule="exact"/>
              <w:rPr>
                <w:rFonts w:ascii="Times New Roman" w:hAnsi="Times New Roman" w:eastAsia="仿宋_GB2312"/>
                <w:color w:val="auto"/>
                <w:szCs w:val="21"/>
              </w:rPr>
            </w:pPr>
            <w:r>
              <w:rPr>
                <w:rFonts w:hint="eastAsia" w:ascii="Times New Roman" w:hAnsi="Times New Roman" w:eastAsia="仿宋_GB2312"/>
                <w:color w:val="auto"/>
                <w:szCs w:val="21"/>
              </w:rPr>
              <w:t>相城区建筑管理服务中心</w:t>
            </w:r>
          </w:p>
        </w:tc>
        <w:tc>
          <w:tcPr>
            <w:tcW w:w="869" w:type="dxa"/>
            <w:tcBorders>
              <w:top w:val="single" w:color="auto" w:sz="4" w:space="0"/>
              <w:left w:val="single" w:color="auto" w:sz="4" w:space="0"/>
              <w:bottom w:val="single" w:color="auto" w:sz="4" w:space="0"/>
              <w:right w:val="single" w:color="auto" w:sz="4" w:space="0"/>
            </w:tcBorders>
            <w:shd w:val="clear" w:color="auto" w:fill="auto"/>
            <w:vAlign w:val="center"/>
          </w:tcPr>
          <w:p w14:paraId="026FC342">
            <w:pPr>
              <w:widowControl/>
              <w:autoSpaceDE w:val="0"/>
              <w:autoSpaceDN w:val="0"/>
              <w:spacing w:line="280" w:lineRule="exact"/>
              <w:jc w:val="left"/>
              <w:rPr>
                <w:rFonts w:ascii="Times New Roman" w:hAnsi="Times New Roman" w:eastAsia="仿宋_GB2312"/>
                <w:color w:val="auto"/>
                <w:szCs w:val="21"/>
              </w:rPr>
            </w:pPr>
            <w:r>
              <w:rPr>
                <w:rFonts w:hint="eastAsia" w:ascii="Times New Roman" w:hAnsi="Times New Roman" w:eastAsia="仿宋_GB2312"/>
                <w:color w:val="auto"/>
                <w:szCs w:val="21"/>
              </w:rPr>
              <w:t>区管房建市政工程项目</w:t>
            </w:r>
          </w:p>
        </w:tc>
        <w:tc>
          <w:tcPr>
            <w:tcW w:w="4962" w:type="dxa"/>
            <w:tcBorders>
              <w:top w:val="single" w:color="auto" w:sz="4" w:space="0"/>
              <w:left w:val="single" w:color="auto" w:sz="4" w:space="0"/>
              <w:bottom w:val="single" w:color="auto" w:sz="4" w:space="0"/>
              <w:right w:val="single" w:color="auto" w:sz="4" w:space="0"/>
            </w:tcBorders>
            <w:shd w:val="clear" w:color="auto" w:fill="auto"/>
            <w:vAlign w:val="center"/>
          </w:tcPr>
          <w:p w14:paraId="523A9A17">
            <w:pPr>
              <w:widowControl/>
              <w:autoSpaceDE w:val="0"/>
              <w:autoSpaceDN w:val="0"/>
              <w:spacing w:line="280" w:lineRule="exact"/>
              <w:ind w:firstLine="420" w:firstLineChars="200"/>
              <w:jc w:val="left"/>
              <w:rPr>
                <w:rFonts w:ascii="Times New Roman" w:hAnsi="Times New Roman" w:eastAsia="仿宋_GB2312"/>
                <w:color w:val="auto"/>
                <w:szCs w:val="21"/>
              </w:rPr>
            </w:pPr>
            <w:r>
              <w:rPr>
                <w:rFonts w:hint="eastAsia" w:ascii="Times New Roman" w:hAnsi="Times New Roman" w:eastAsia="仿宋_GB2312"/>
                <w:color w:val="auto"/>
                <w:szCs w:val="21"/>
              </w:rPr>
              <w:t>（一）建设单位、施工总承包单位及所在项目部、分包单位、相关行业工程建设主管部门、劳资专管员等基本信息；</w:t>
            </w:r>
          </w:p>
          <w:p w14:paraId="51E8A732">
            <w:pPr>
              <w:widowControl/>
              <w:autoSpaceDE w:val="0"/>
              <w:autoSpaceDN w:val="0"/>
              <w:spacing w:line="280" w:lineRule="exact"/>
              <w:ind w:firstLine="420" w:firstLineChars="200"/>
              <w:jc w:val="left"/>
              <w:rPr>
                <w:rFonts w:ascii="Times New Roman" w:hAnsi="Times New Roman" w:eastAsia="仿宋_GB2312"/>
                <w:color w:val="auto"/>
                <w:szCs w:val="21"/>
              </w:rPr>
            </w:pPr>
            <w:r>
              <w:rPr>
                <w:rFonts w:hint="eastAsia" w:ascii="Times New Roman" w:hAnsi="Times New Roman" w:eastAsia="仿宋_GB2312"/>
                <w:color w:val="auto"/>
                <w:szCs w:val="21"/>
              </w:rPr>
              <w:t>（二）当地最低工资标准、工资支付日期等基本信息；</w:t>
            </w:r>
          </w:p>
          <w:p w14:paraId="0930FA75">
            <w:pPr>
              <w:widowControl/>
              <w:autoSpaceDE w:val="0"/>
              <w:autoSpaceDN w:val="0"/>
              <w:spacing w:line="280" w:lineRule="exact"/>
              <w:ind w:firstLine="420" w:firstLineChars="200"/>
              <w:jc w:val="left"/>
              <w:rPr>
                <w:rFonts w:ascii="Times New Roman" w:hAnsi="Times New Roman" w:eastAsia="仿宋_GB2312"/>
                <w:color w:val="auto"/>
                <w:szCs w:val="21"/>
              </w:rPr>
            </w:pPr>
            <w:r>
              <w:rPr>
                <w:rFonts w:hint="eastAsia" w:ascii="Times New Roman" w:hAnsi="Times New Roman" w:eastAsia="仿宋_GB2312"/>
                <w:color w:val="auto"/>
                <w:szCs w:val="21"/>
              </w:rPr>
              <w:t>（三）相关行业工程建设主管部门和劳动保障监察投诉举报电话、劳动争议调解仲裁申请渠道、法律援助申请渠道、公共法律服务热线等信息。</w:t>
            </w:r>
          </w:p>
          <w:p w14:paraId="0FB053A4">
            <w:pPr>
              <w:widowControl/>
              <w:autoSpaceDE w:val="0"/>
              <w:autoSpaceDN w:val="0"/>
              <w:spacing w:line="280" w:lineRule="exact"/>
              <w:ind w:firstLine="420" w:firstLineChars="200"/>
              <w:jc w:val="left"/>
              <w:rPr>
                <w:rFonts w:ascii="Times New Roman" w:hAnsi="Times New Roman" w:eastAsia="仿宋_GB2312"/>
                <w:color w:val="auto"/>
                <w:szCs w:val="21"/>
              </w:rPr>
            </w:pPr>
            <w:r>
              <w:rPr>
                <w:rFonts w:hint="eastAsia" w:ascii="Times New Roman" w:hAnsi="Times New Roman" w:eastAsia="仿宋_GB2312"/>
                <w:color w:val="auto"/>
                <w:szCs w:val="21"/>
              </w:rPr>
              <w:t>第四十三条　相关行业工程建设主管部门应当依法规范本领域建设市场秩序，对违法发包、转包、违法分包、挂靠等行为进行查处，并对导致拖欠农民工工资的违法行为及时予以制止、纠正。</w:t>
            </w:r>
          </w:p>
          <w:p w14:paraId="3DCD1D7A">
            <w:pPr>
              <w:widowControl/>
              <w:autoSpaceDE w:val="0"/>
              <w:autoSpaceDN w:val="0"/>
              <w:spacing w:line="280" w:lineRule="exact"/>
              <w:ind w:firstLine="420" w:firstLineChars="200"/>
              <w:jc w:val="left"/>
              <w:rPr>
                <w:rFonts w:ascii="Times New Roman" w:hAnsi="Times New Roman" w:eastAsia="仿宋_GB2312"/>
                <w:color w:val="auto"/>
                <w:szCs w:val="21"/>
              </w:rPr>
            </w:pPr>
            <w:r>
              <w:rPr>
                <w:rFonts w:hint="eastAsia" w:ascii="Times New Roman" w:hAnsi="Times New Roman" w:eastAsia="仿宋_GB2312"/>
                <w:color w:val="auto"/>
                <w:szCs w:val="21"/>
              </w:rPr>
              <w:t>第五十五条　有下列情形之一的，由人力资源社会保障行政部门、相关行业工程建设主管部门按照职责责令限期改正；逾期不改正的，责令项目停工，并处5万元以上10万元以下的罚款；情节严重的，给予施工单位限制承接新工程、降低资质等级、吊销资质证书等处罚：</w:t>
            </w:r>
          </w:p>
          <w:p w14:paraId="7ED31C3B">
            <w:pPr>
              <w:widowControl/>
              <w:autoSpaceDE w:val="0"/>
              <w:autoSpaceDN w:val="0"/>
              <w:spacing w:line="280" w:lineRule="exact"/>
              <w:ind w:firstLine="420" w:firstLineChars="200"/>
              <w:jc w:val="left"/>
              <w:rPr>
                <w:rFonts w:ascii="Times New Roman" w:hAnsi="Times New Roman" w:eastAsia="仿宋_GB2312"/>
                <w:color w:val="auto"/>
                <w:szCs w:val="21"/>
              </w:rPr>
            </w:pPr>
            <w:r>
              <w:rPr>
                <w:rFonts w:hint="eastAsia" w:ascii="Times New Roman" w:hAnsi="Times New Roman" w:eastAsia="仿宋_GB2312"/>
                <w:color w:val="auto"/>
                <w:szCs w:val="21"/>
              </w:rPr>
              <w:t>（一）施工总承包单位未按规定开设或者使用农民工工资专用账户；</w:t>
            </w:r>
          </w:p>
          <w:p w14:paraId="262A5240">
            <w:pPr>
              <w:widowControl/>
              <w:autoSpaceDE w:val="0"/>
              <w:autoSpaceDN w:val="0"/>
              <w:spacing w:line="280" w:lineRule="exact"/>
              <w:ind w:firstLine="420" w:firstLineChars="200"/>
              <w:jc w:val="left"/>
              <w:rPr>
                <w:rFonts w:ascii="Times New Roman" w:hAnsi="Times New Roman" w:eastAsia="仿宋_GB2312"/>
                <w:color w:val="auto"/>
                <w:szCs w:val="21"/>
              </w:rPr>
            </w:pPr>
            <w:r>
              <w:rPr>
                <w:rFonts w:hint="eastAsia" w:ascii="Times New Roman" w:hAnsi="Times New Roman" w:eastAsia="仿宋_GB2312"/>
                <w:color w:val="auto"/>
                <w:szCs w:val="21"/>
              </w:rPr>
              <w:t>（三）施工总承包单位、分包单位未实行劳动用工实名制管理。</w:t>
            </w:r>
          </w:p>
          <w:p w14:paraId="53FB1AB3">
            <w:pPr>
              <w:widowControl/>
              <w:autoSpaceDE w:val="0"/>
              <w:autoSpaceDN w:val="0"/>
              <w:spacing w:line="280" w:lineRule="exact"/>
              <w:ind w:firstLine="420" w:firstLineChars="200"/>
              <w:jc w:val="left"/>
              <w:rPr>
                <w:rFonts w:ascii="Times New Roman" w:hAnsi="Times New Roman" w:eastAsia="仿宋_GB2312"/>
                <w:color w:val="auto"/>
                <w:szCs w:val="21"/>
              </w:rPr>
            </w:pPr>
            <w:r>
              <w:rPr>
                <w:rFonts w:hint="eastAsia" w:ascii="Times New Roman" w:hAnsi="Times New Roman" w:eastAsia="仿宋_GB2312"/>
                <w:color w:val="auto"/>
                <w:szCs w:val="21"/>
              </w:rPr>
              <w:t>第五十六条　有下列情形之一的，由人力资源社会保障行政部门、相关行业工程建设主管部门按照职责责令限期改正；逾期不改正的，处5万元以上10万元以下的罚款：</w:t>
            </w:r>
          </w:p>
          <w:p w14:paraId="0BD1C353">
            <w:pPr>
              <w:widowControl/>
              <w:autoSpaceDE w:val="0"/>
              <w:autoSpaceDN w:val="0"/>
              <w:spacing w:line="280" w:lineRule="exact"/>
              <w:ind w:firstLine="420" w:firstLineChars="200"/>
              <w:jc w:val="left"/>
              <w:rPr>
                <w:rFonts w:ascii="Times New Roman" w:hAnsi="Times New Roman" w:eastAsia="仿宋_GB2312"/>
                <w:color w:val="auto"/>
                <w:szCs w:val="21"/>
              </w:rPr>
            </w:pPr>
            <w:r>
              <w:rPr>
                <w:rFonts w:hint="eastAsia" w:ascii="Times New Roman" w:hAnsi="Times New Roman" w:eastAsia="仿宋_GB2312"/>
                <w:color w:val="auto"/>
                <w:szCs w:val="21"/>
              </w:rPr>
              <w:t>（一）分包单位未按月考核农民工工作量、编制工资支付表并经农民工本人签字确认；</w:t>
            </w:r>
          </w:p>
          <w:p w14:paraId="47F94D69">
            <w:pPr>
              <w:widowControl/>
              <w:autoSpaceDE w:val="0"/>
              <w:autoSpaceDN w:val="0"/>
              <w:spacing w:line="280" w:lineRule="exact"/>
              <w:ind w:firstLine="420" w:firstLineChars="200"/>
              <w:jc w:val="left"/>
              <w:rPr>
                <w:rFonts w:ascii="Times New Roman" w:hAnsi="Times New Roman" w:eastAsia="仿宋_GB2312"/>
                <w:color w:val="auto"/>
                <w:szCs w:val="21"/>
              </w:rPr>
            </w:pPr>
            <w:r>
              <w:rPr>
                <w:rFonts w:hint="eastAsia" w:ascii="Times New Roman" w:hAnsi="Times New Roman" w:eastAsia="仿宋_GB2312"/>
                <w:color w:val="auto"/>
                <w:szCs w:val="21"/>
              </w:rPr>
              <w:t>（二）分包单位未配合施工总承包单位对其劳动</w:t>
            </w:r>
          </w:p>
        </w:tc>
        <w:tc>
          <w:tcPr>
            <w:tcW w:w="992" w:type="dxa"/>
            <w:tcBorders>
              <w:top w:val="single" w:color="auto" w:sz="4" w:space="0"/>
              <w:left w:val="single" w:color="auto" w:sz="4" w:space="0"/>
              <w:bottom w:val="single" w:color="auto" w:sz="4" w:space="0"/>
              <w:right w:val="single" w:color="auto" w:sz="4" w:space="0"/>
            </w:tcBorders>
            <w:shd w:val="clear" w:color="auto" w:fill="auto"/>
            <w:vAlign w:val="center"/>
          </w:tcPr>
          <w:p w14:paraId="3051DDC1">
            <w:pPr>
              <w:widowControl/>
              <w:autoSpaceDE w:val="0"/>
              <w:autoSpaceDN w:val="0"/>
              <w:spacing w:line="280" w:lineRule="exact"/>
              <w:jc w:val="center"/>
              <w:rPr>
                <w:rFonts w:ascii="Times New Roman" w:hAnsi="Times New Roman" w:eastAsia="仿宋_GB2312"/>
                <w:color w:val="auto"/>
                <w:szCs w:val="21"/>
              </w:rPr>
            </w:pPr>
            <w:r>
              <w:rPr>
                <w:rFonts w:hint="eastAsia" w:ascii="Times New Roman" w:hAnsi="Times New Roman" w:eastAsia="仿宋_GB2312"/>
                <w:color w:val="auto"/>
                <w:szCs w:val="21"/>
              </w:rPr>
              <w:t>现场检查，书面检查</w:t>
            </w:r>
          </w:p>
        </w:tc>
        <w:tc>
          <w:tcPr>
            <w:tcW w:w="1139" w:type="dxa"/>
            <w:tcBorders>
              <w:top w:val="single" w:color="auto" w:sz="4" w:space="0"/>
              <w:left w:val="single" w:color="auto" w:sz="4" w:space="0"/>
              <w:bottom w:val="single" w:color="auto" w:sz="4" w:space="0"/>
              <w:right w:val="single" w:color="auto" w:sz="4" w:space="0"/>
            </w:tcBorders>
            <w:shd w:val="clear" w:color="auto" w:fill="auto"/>
            <w:vAlign w:val="center"/>
          </w:tcPr>
          <w:p w14:paraId="1F16529F">
            <w:pPr>
              <w:widowControl/>
              <w:autoSpaceDE w:val="0"/>
              <w:autoSpaceDN w:val="0"/>
              <w:spacing w:line="280" w:lineRule="exact"/>
              <w:jc w:val="center"/>
              <w:rPr>
                <w:rFonts w:hint="eastAsia" w:ascii="Times New Roman" w:hAnsi="Times New Roman" w:eastAsia="仿宋_GB2312"/>
                <w:color w:val="auto"/>
                <w:szCs w:val="21"/>
                <w:lang w:val="en-US" w:eastAsia="zh-CN"/>
              </w:rPr>
            </w:pPr>
            <w:r>
              <w:rPr>
                <w:rFonts w:hint="eastAsia" w:ascii="Times New Roman" w:hAnsi="Times New Roman" w:eastAsia="仿宋_GB2312"/>
                <w:color w:val="auto"/>
                <w:szCs w:val="21"/>
                <w:lang w:val="en-US" w:eastAsia="zh-CN"/>
              </w:rPr>
              <w:t>每半年</w:t>
            </w:r>
          </w:p>
          <w:p w14:paraId="2826FC51">
            <w:pPr>
              <w:widowControl/>
              <w:autoSpaceDE w:val="0"/>
              <w:autoSpaceDN w:val="0"/>
              <w:spacing w:line="280" w:lineRule="exact"/>
              <w:jc w:val="center"/>
              <w:rPr>
                <w:rFonts w:ascii="Times New Roman" w:hAnsi="Times New Roman" w:eastAsia="仿宋_GB2312"/>
                <w:color w:val="auto"/>
                <w:szCs w:val="21"/>
              </w:rPr>
            </w:pPr>
            <w:r>
              <w:rPr>
                <w:rFonts w:hint="eastAsia" w:ascii="Times New Roman" w:hAnsi="Times New Roman" w:eastAsia="仿宋_GB2312"/>
                <w:color w:val="auto"/>
                <w:szCs w:val="21"/>
                <w:lang w:val="en-US" w:eastAsia="zh-CN"/>
              </w:rPr>
              <w:t>1次</w:t>
            </w:r>
          </w:p>
        </w:tc>
        <w:tc>
          <w:tcPr>
            <w:tcW w:w="1491" w:type="dxa"/>
            <w:tcBorders>
              <w:top w:val="single" w:color="auto" w:sz="4" w:space="0"/>
              <w:left w:val="single" w:color="auto" w:sz="4" w:space="0"/>
              <w:bottom w:val="single" w:color="auto" w:sz="4" w:space="0"/>
              <w:right w:val="single" w:color="auto" w:sz="4" w:space="0"/>
            </w:tcBorders>
            <w:shd w:val="clear" w:color="auto" w:fill="auto"/>
            <w:vAlign w:val="center"/>
          </w:tcPr>
          <w:p w14:paraId="05A4CC37">
            <w:pPr>
              <w:widowControl/>
              <w:autoSpaceDE w:val="0"/>
              <w:autoSpaceDN w:val="0"/>
              <w:spacing w:line="280" w:lineRule="exact"/>
              <w:jc w:val="center"/>
              <w:rPr>
                <w:rFonts w:ascii="Times New Roman" w:hAnsi="Times New Roman" w:eastAsia="仿宋_GB2312"/>
                <w:color w:val="auto"/>
                <w:szCs w:val="21"/>
              </w:rPr>
            </w:pPr>
            <w:r>
              <w:rPr>
                <w:rFonts w:hint="eastAsia" w:ascii="Times New Roman" w:hAnsi="Times New Roman" w:eastAsia="仿宋_GB2312"/>
                <w:color w:val="auto"/>
                <w:szCs w:val="21"/>
              </w:rPr>
              <w:t>320217883000</w:t>
            </w:r>
          </w:p>
        </w:tc>
        <w:tc>
          <w:tcPr>
            <w:tcW w:w="1481" w:type="dxa"/>
            <w:tcBorders>
              <w:top w:val="single" w:color="auto" w:sz="4" w:space="0"/>
              <w:left w:val="single" w:color="auto" w:sz="4" w:space="0"/>
              <w:bottom w:val="single" w:color="auto" w:sz="4" w:space="0"/>
              <w:right w:val="single" w:color="auto" w:sz="4" w:space="0"/>
            </w:tcBorders>
            <w:shd w:val="clear" w:color="auto" w:fill="auto"/>
            <w:vAlign w:val="center"/>
          </w:tcPr>
          <w:p w14:paraId="29BF3E88">
            <w:pPr>
              <w:widowControl/>
              <w:autoSpaceDE w:val="0"/>
              <w:autoSpaceDN w:val="0"/>
              <w:spacing w:line="280" w:lineRule="exact"/>
              <w:rPr>
                <w:rFonts w:ascii="Times New Roman" w:hAnsi="Times New Roman" w:eastAsia="仿宋_GB2312"/>
                <w:color w:val="auto"/>
                <w:szCs w:val="21"/>
              </w:rPr>
            </w:pPr>
            <w:r>
              <w:rPr>
                <w:rFonts w:hint="eastAsia" w:ascii="Times New Roman" w:hAnsi="Times New Roman" w:eastAsia="仿宋_GB2312"/>
                <w:color w:val="auto"/>
                <w:szCs w:val="21"/>
              </w:rPr>
              <w:t>对建设单位或者施工总承包单位拒不提供或者无法提供工程施工合同、农民工工资专用账户有关资料的处罚</w:t>
            </w:r>
          </w:p>
        </w:tc>
        <w:tc>
          <w:tcPr>
            <w:tcW w:w="622" w:type="dxa"/>
            <w:tcBorders>
              <w:top w:val="single" w:color="auto" w:sz="4" w:space="0"/>
              <w:left w:val="single" w:color="auto" w:sz="4" w:space="0"/>
              <w:bottom w:val="single" w:color="auto" w:sz="4" w:space="0"/>
              <w:right w:val="single" w:color="auto" w:sz="4" w:space="0"/>
            </w:tcBorders>
            <w:shd w:val="clear" w:color="auto" w:fill="auto"/>
            <w:vAlign w:val="center"/>
          </w:tcPr>
          <w:p w14:paraId="59CFE9D3">
            <w:pPr>
              <w:spacing w:line="280" w:lineRule="exact"/>
              <w:jc w:val="center"/>
              <w:rPr>
                <w:rFonts w:ascii="Times New Roman" w:hAnsi="Times New Roman" w:eastAsia="仿宋_GB2312"/>
                <w:color w:val="auto"/>
                <w:kern w:val="0"/>
                <w:szCs w:val="21"/>
              </w:rPr>
            </w:pPr>
          </w:p>
        </w:tc>
      </w:tr>
      <w:tr w14:paraId="27FB3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5" w:hRule="atLeast"/>
          <w:jc w:val="center"/>
        </w:trPr>
        <w:tc>
          <w:tcPr>
            <w:tcW w:w="536" w:type="dxa"/>
            <w:tcBorders>
              <w:top w:val="single" w:color="auto" w:sz="4" w:space="0"/>
              <w:left w:val="single" w:color="auto" w:sz="4" w:space="0"/>
              <w:bottom w:val="single" w:color="auto" w:sz="4" w:space="0"/>
              <w:right w:val="single" w:color="auto" w:sz="4" w:space="0"/>
            </w:tcBorders>
            <w:shd w:val="clear" w:color="auto" w:fill="auto"/>
            <w:vAlign w:val="center"/>
          </w:tcPr>
          <w:p w14:paraId="73FE5352">
            <w:pPr>
              <w:widowControl/>
              <w:autoSpaceDE w:val="0"/>
              <w:autoSpaceDN w:val="0"/>
              <w:spacing w:line="280" w:lineRule="exact"/>
              <w:jc w:val="center"/>
              <w:rPr>
                <w:rFonts w:ascii="Times New Roman" w:hAnsi="Times New Roman" w:eastAsia="仿宋_GB2312"/>
                <w:color w:val="auto"/>
                <w:szCs w:val="21"/>
              </w:rPr>
            </w:pPr>
            <w:r>
              <w:rPr>
                <w:rFonts w:hint="eastAsia" w:ascii="Times New Roman" w:hAnsi="Times New Roman" w:eastAsia="仿宋_GB2312"/>
                <w:color w:val="auto"/>
                <w:szCs w:val="21"/>
              </w:rPr>
              <w:t>6</w:t>
            </w:r>
          </w:p>
        </w:tc>
        <w:tc>
          <w:tcPr>
            <w:tcW w:w="1324" w:type="dxa"/>
            <w:tcBorders>
              <w:top w:val="single" w:color="auto" w:sz="4" w:space="0"/>
              <w:left w:val="single" w:color="auto" w:sz="4" w:space="0"/>
              <w:bottom w:val="single" w:color="auto" w:sz="4" w:space="0"/>
              <w:right w:val="single" w:color="auto" w:sz="4" w:space="0"/>
            </w:tcBorders>
            <w:shd w:val="clear" w:color="auto" w:fill="auto"/>
            <w:vAlign w:val="center"/>
          </w:tcPr>
          <w:p w14:paraId="0A6B7689">
            <w:pPr>
              <w:widowControl/>
              <w:autoSpaceDE w:val="0"/>
              <w:autoSpaceDN w:val="0"/>
              <w:spacing w:line="280" w:lineRule="exact"/>
              <w:jc w:val="left"/>
              <w:rPr>
                <w:rFonts w:ascii="Times New Roman" w:hAnsi="Times New Roman" w:eastAsia="仿宋_GB2312"/>
                <w:color w:val="auto"/>
                <w:szCs w:val="21"/>
              </w:rPr>
            </w:pPr>
            <w:r>
              <w:rPr>
                <w:rFonts w:hint="eastAsia" w:ascii="Times New Roman" w:hAnsi="Times New Roman" w:eastAsia="仿宋_GB2312"/>
                <w:color w:val="auto"/>
                <w:szCs w:val="21"/>
              </w:rPr>
              <w:t>在建项目保障农民工工资支付情况检查</w:t>
            </w:r>
          </w:p>
        </w:tc>
        <w:tc>
          <w:tcPr>
            <w:tcW w:w="794" w:type="dxa"/>
            <w:tcBorders>
              <w:top w:val="single" w:color="auto" w:sz="4" w:space="0"/>
              <w:left w:val="single" w:color="auto" w:sz="4" w:space="0"/>
              <w:bottom w:val="single" w:color="auto" w:sz="4" w:space="0"/>
              <w:right w:val="single" w:color="auto" w:sz="4" w:space="0"/>
            </w:tcBorders>
            <w:shd w:val="clear" w:color="auto" w:fill="auto"/>
            <w:vAlign w:val="center"/>
          </w:tcPr>
          <w:p w14:paraId="01443F79">
            <w:pPr>
              <w:widowControl/>
              <w:autoSpaceDE w:val="0"/>
              <w:autoSpaceDN w:val="0"/>
              <w:spacing w:line="280" w:lineRule="exact"/>
              <w:jc w:val="center"/>
              <w:rPr>
                <w:rFonts w:ascii="Times New Roman" w:hAnsi="Times New Roman" w:eastAsia="仿宋_GB2312"/>
                <w:color w:val="auto"/>
                <w:szCs w:val="21"/>
              </w:rPr>
            </w:pPr>
            <w:r>
              <w:rPr>
                <w:rFonts w:hint="eastAsia" w:ascii="Times New Roman" w:hAnsi="Times New Roman" w:eastAsia="仿宋_GB2312"/>
                <w:color w:val="auto"/>
                <w:szCs w:val="21"/>
              </w:rPr>
              <w:t>苏州市相城区住房和城乡建设局</w:t>
            </w:r>
          </w:p>
        </w:tc>
        <w:tc>
          <w:tcPr>
            <w:tcW w:w="872" w:type="dxa"/>
            <w:tcBorders>
              <w:top w:val="single" w:color="auto" w:sz="4" w:space="0"/>
              <w:left w:val="single" w:color="auto" w:sz="4" w:space="0"/>
              <w:bottom w:val="single" w:color="auto" w:sz="4" w:space="0"/>
              <w:right w:val="single" w:color="auto" w:sz="4" w:space="0"/>
            </w:tcBorders>
            <w:shd w:val="clear" w:color="auto" w:fill="auto"/>
            <w:vAlign w:val="center"/>
          </w:tcPr>
          <w:p w14:paraId="12FB6837">
            <w:pPr>
              <w:widowControl/>
              <w:autoSpaceDE w:val="0"/>
              <w:autoSpaceDN w:val="0"/>
              <w:spacing w:line="280" w:lineRule="exact"/>
              <w:rPr>
                <w:rFonts w:ascii="Times New Roman" w:hAnsi="Times New Roman" w:eastAsia="仿宋_GB2312"/>
                <w:color w:val="auto"/>
                <w:szCs w:val="21"/>
              </w:rPr>
            </w:pPr>
            <w:r>
              <w:rPr>
                <w:rFonts w:hint="eastAsia" w:ascii="Times New Roman" w:hAnsi="Times New Roman" w:eastAsia="仿宋_GB2312"/>
                <w:color w:val="auto"/>
                <w:szCs w:val="21"/>
              </w:rPr>
              <w:t>相城区建筑管理服务中心</w:t>
            </w:r>
          </w:p>
        </w:tc>
        <w:tc>
          <w:tcPr>
            <w:tcW w:w="869" w:type="dxa"/>
            <w:tcBorders>
              <w:top w:val="single" w:color="auto" w:sz="4" w:space="0"/>
              <w:left w:val="single" w:color="auto" w:sz="4" w:space="0"/>
              <w:bottom w:val="single" w:color="auto" w:sz="4" w:space="0"/>
              <w:right w:val="single" w:color="auto" w:sz="4" w:space="0"/>
            </w:tcBorders>
            <w:shd w:val="clear" w:color="auto" w:fill="auto"/>
            <w:vAlign w:val="center"/>
          </w:tcPr>
          <w:p w14:paraId="1C83BD04">
            <w:pPr>
              <w:widowControl/>
              <w:autoSpaceDE w:val="0"/>
              <w:autoSpaceDN w:val="0"/>
              <w:spacing w:line="280" w:lineRule="exact"/>
              <w:jc w:val="left"/>
              <w:rPr>
                <w:rFonts w:ascii="Times New Roman" w:hAnsi="Times New Roman" w:eastAsia="仿宋_GB2312"/>
                <w:color w:val="auto"/>
                <w:szCs w:val="21"/>
              </w:rPr>
            </w:pPr>
            <w:r>
              <w:rPr>
                <w:rFonts w:hint="eastAsia" w:ascii="Times New Roman" w:hAnsi="Times New Roman" w:eastAsia="仿宋_GB2312"/>
                <w:color w:val="auto"/>
                <w:szCs w:val="21"/>
              </w:rPr>
              <w:t>区管房建市政工程项目</w:t>
            </w:r>
          </w:p>
        </w:tc>
        <w:tc>
          <w:tcPr>
            <w:tcW w:w="4962" w:type="dxa"/>
            <w:tcBorders>
              <w:top w:val="single" w:color="auto" w:sz="4" w:space="0"/>
              <w:left w:val="single" w:color="auto" w:sz="4" w:space="0"/>
              <w:bottom w:val="single" w:color="auto" w:sz="4" w:space="0"/>
              <w:right w:val="single" w:color="auto" w:sz="4" w:space="0"/>
            </w:tcBorders>
            <w:shd w:val="clear" w:color="auto" w:fill="auto"/>
            <w:vAlign w:val="center"/>
          </w:tcPr>
          <w:p w14:paraId="09078B17">
            <w:pPr>
              <w:widowControl/>
              <w:autoSpaceDE w:val="0"/>
              <w:autoSpaceDN w:val="0"/>
              <w:spacing w:line="280" w:lineRule="exact"/>
              <w:jc w:val="left"/>
              <w:rPr>
                <w:rFonts w:ascii="Times New Roman" w:hAnsi="Times New Roman" w:eastAsia="仿宋_GB2312"/>
                <w:color w:val="auto"/>
                <w:szCs w:val="21"/>
              </w:rPr>
            </w:pPr>
            <w:r>
              <w:rPr>
                <w:rFonts w:hint="eastAsia" w:ascii="Times New Roman" w:hAnsi="Times New Roman" w:eastAsia="仿宋_GB2312"/>
                <w:color w:val="auto"/>
                <w:szCs w:val="21"/>
              </w:rPr>
              <w:t>用工进行监督管理；</w:t>
            </w:r>
          </w:p>
          <w:p w14:paraId="427DDF40">
            <w:pPr>
              <w:widowControl/>
              <w:autoSpaceDE w:val="0"/>
              <w:autoSpaceDN w:val="0"/>
              <w:spacing w:line="280" w:lineRule="exact"/>
              <w:ind w:firstLine="420" w:firstLineChars="200"/>
              <w:jc w:val="left"/>
              <w:rPr>
                <w:rFonts w:ascii="Times New Roman" w:hAnsi="Times New Roman" w:eastAsia="仿宋_GB2312"/>
                <w:color w:val="auto"/>
                <w:szCs w:val="21"/>
              </w:rPr>
            </w:pPr>
            <w:r>
              <w:rPr>
                <w:rFonts w:hint="eastAsia" w:ascii="Times New Roman" w:hAnsi="Times New Roman" w:eastAsia="仿宋_GB2312"/>
                <w:color w:val="auto"/>
                <w:szCs w:val="21"/>
              </w:rPr>
              <w:t>（三）施工总承包单位未实行施工现场维权信息公示制度。</w:t>
            </w:r>
          </w:p>
          <w:p w14:paraId="27BDC530">
            <w:pPr>
              <w:widowControl/>
              <w:autoSpaceDE w:val="0"/>
              <w:autoSpaceDN w:val="0"/>
              <w:spacing w:line="280" w:lineRule="exact"/>
              <w:ind w:firstLine="420" w:firstLineChars="200"/>
              <w:jc w:val="left"/>
              <w:rPr>
                <w:rFonts w:ascii="Times New Roman" w:hAnsi="Times New Roman" w:eastAsia="仿宋_GB2312"/>
                <w:color w:val="auto"/>
                <w:szCs w:val="21"/>
              </w:rPr>
            </w:pPr>
            <w:r>
              <w:rPr>
                <w:rFonts w:hint="eastAsia" w:ascii="Times New Roman" w:hAnsi="Times New Roman" w:eastAsia="仿宋_GB2312"/>
                <w:color w:val="auto"/>
                <w:szCs w:val="21"/>
              </w:rPr>
              <w:t>第五十七条　有下列情形之一的，由人力资源社会保障行政部门、相关行业工程建设主管部门按照职责责令限期改正；逾期不改正的，责令项目停工，并处5万元以上10万元以下的罚款：</w:t>
            </w:r>
          </w:p>
          <w:p w14:paraId="10CBD576">
            <w:pPr>
              <w:widowControl/>
              <w:numPr>
                <w:ilvl w:val="0"/>
                <w:numId w:val="1"/>
              </w:numPr>
              <w:autoSpaceDE w:val="0"/>
              <w:autoSpaceDN w:val="0"/>
              <w:spacing w:line="280" w:lineRule="exact"/>
              <w:ind w:firstLine="420" w:firstLineChars="200"/>
              <w:jc w:val="left"/>
              <w:rPr>
                <w:rFonts w:hint="eastAsia" w:ascii="Times New Roman" w:hAnsi="Times New Roman" w:eastAsia="仿宋_GB2312"/>
                <w:color w:val="auto"/>
                <w:szCs w:val="21"/>
                <w:lang w:eastAsia="zh-CN"/>
              </w:rPr>
            </w:pPr>
            <w:r>
              <w:rPr>
                <w:rFonts w:hint="eastAsia" w:ascii="Times New Roman" w:hAnsi="Times New Roman" w:eastAsia="仿宋_GB2312"/>
                <w:color w:val="auto"/>
                <w:szCs w:val="21"/>
              </w:rPr>
              <w:t>建设单位未依法提供工程款支付担保</w:t>
            </w:r>
            <w:r>
              <w:rPr>
                <w:rFonts w:hint="eastAsia" w:ascii="Times New Roman" w:hAnsi="Times New Roman" w:eastAsia="仿宋_GB2312"/>
                <w:color w:val="auto"/>
                <w:szCs w:val="21"/>
                <w:lang w:eastAsia="zh-CN"/>
              </w:rPr>
              <w:t>；</w:t>
            </w:r>
          </w:p>
          <w:p w14:paraId="1E34D464">
            <w:pPr>
              <w:widowControl/>
              <w:numPr>
                <w:ilvl w:val="0"/>
                <w:numId w:val="1"/>
              </w:numPr>
              <w:autoSpaceDE w:val="0"/>
              <w:autoSpaceDN w:val="0"/>
              <w:spacing w:line="280" w:lineRule="exact"/>
              <w:ind w:firstLine="420" w:firstLineChars="200"/>
              <w:jc w:val="left"/>
              <w:rPr>
                <w:rFonts w:ascii="Times New Roman" w:hAnsi="Times New Roman" w:eastAsia="仿宋_GB2312"/>
                <w:color w:val="auto"/>
                <w:szCs w:val="21"/>
              </w:rPr>
            </w:pPr>
            <w:r>
              <w:rPr>
                <w:rFonts w:hint="eastAsia" w:ascii="Times New Roman" w:hAnsi="Times New Roman" w:eastAsia="仿宋_GB2312"/>
                <w:color w:val="auto"/>
                <w:szCs w:val="21"/>
              </w:rPr>
              <w:t>建设单位未按约定及时足额向农民工工资专用账户拨付工程款中的人工费用；</w:t>
            </w:r>
          </w:p>
          <w:p w14:paraId="7CB7DE7D">
            <w:pPr>
              <w:widowControl/>
              <w:numPr>
                <w:ilvl w:val="0"/>
                <w:numId w:val="1"/>
              </w:numPr>
              <w:autoSpaceDE w:val="0"/>
              <w:autoSpaceDN w:val="0"/>
              <w:spacing w:line="280" w:lineRule="exact"/>
              <w:ind w:firstLine="420" w:firstLineChars="200"/>
              <w:jc w:val="left"/>
              <w:rPr>
                <w:rFonts w:ascii="Times New Roman" w:hAnsi="Times New Roman" w:eastAsia="仿宋_GB2312"/>
                <w:color w:val="auto"/>
                <w:szCs w:val="21"/>
              </w:rPr>
            </w:pPr>
            <w:r>
              <w:rPr>
                <w:rFonts w:hint="eastAsia" w:ascii="Times New Roman" w:hAnsi="Times New Roman" w:eastAsia="仿宋_GB2312"/>
                <w:color w:val="auto"/>
                <w:szCs w:val="21"/>
              </w:rPr>
              <w:t>建设单位或者施工总承包单位拒不提供或者无法提供工程施工合同、农民工工资专用账户有关资料。</w:t>
            </w:r>
          </w:p>
        </w:tc>
        <w:tc>
          <w:tcPr>
            <w:tcW w:w="992" w:type="dxa"/>
            <w:tcBorders>
              <w:top w:val="single" w:color="auto" w:sz="4" w:space="0"/>
              <w:left w:val="single" w:color="auto" w:sz="4" w:space="0"/>
              <w:bottom w:val="single" w:color="auto" w:sz="4" w:space="0"/>
              <w:right w:val="single" w:color="auto" w:sz="4" w:space="0"/>
            </w:tcBorders>
            <w:shd w:val="clear" w:color="auto" w:fill="auto"/>
            <w:vAlign w:val="center"/>
          </w:tcPr>
          <w:p w14:paraId="485AEF0E">
            <w:pPr>
              <w:widowControl/>
              <w:autoSpaceDE w:val="0"/>
              <w:autoSpaceDN w:val="0"/>
              <w:spacing w:line="280" w:lineRule="exact"/>
              <w:jc w:val="center"/>
              <w:rPr>
                <w:rFonts w:ascii="Times New Roman" w:hAnsi="Times New Roman" w:eastAsia="仿宋_GB2312"/>
                <w:color w:val="auto"/>
                <w:szCs w:val="21"/>
              </w:rPr>
            </w:pPr>
            <w:r>
              <w:rPr>
                <w:rFonts w:hint="eastAsia" w:ascii="Times New Roman" w:hAnsi="Times New Roman" w:eastAsia="仿宋_GB2312"/>
                <w:color w:val="auto"/>
                <w:szCs w:val="21"/>
              </w:rPr>
              <w:t>现场检查，书面检查</w:t>
            </w:r>
          </w:p>
        </w:tc>
        <w:tc>
          <w:tcPr>
            <w:tcW w:w="1139" w:type="dxa"/>
            <w:tcBorders>
              <w:top w:val="single" w:color="auto" w:sz="4" w:space="0"/>
              <w:left w:val="single" w:color="auto" w:sz="4" w:space="0"/>
              <w:bottom w:val="single" w:color="auto" w:sz="4" w:space="0"/>
              <w:right w:val="single" w:color="auto" w:sz="4" w:space="0"/>
            </w:tcBorders>
            <w:shd w:val="clear" w:color="auto" w:fill="auto"/>
            <w:vAlign w:val="center"/>
          </w:tcPr>
          <w:p w14:paraId="432751E6">
            <w:pPr>
              <w:widowControl/>
              <w:autoSpaceDE w:val="0"/>
              <w:autoSpaceDN w:val="0"/>
              <w:spacing w:line="280" w:lineRule="exact"/>
              <w:jc w:val="center"/>
              <w:rPr>
                <w:rFonts w:hint="eastAsia" w:ascii="Times New Roman" w:hAnsi="Times New Roman" w:eastAsia="仿宋_GB2312"/>
                <w:color w:val="auto"/>
                <w:szCs w:val="21"/>
                <w:lang w:val="en-US" w:eastAsia="zh-CN"/>
              </w:rPr>
            </w:pPr>
            <w:r>
              <w:rPr>
                <w:rFonts w:hint="eastAsia" w:ascii="Times New Roman" w:hAnsi="Times New Roman" w:eastAsia="仿宋_GB2312"/>
                <w:color w:val="auto"/>
                <w:szCs w:val="21"/>
                <w:lang w:val="en-US" w:eastAsia="zh-CN"/>
              </w:rPr>
              <w:t>每半年</w:t>
            </w:r>
          </w:p>
          <w:p w14:paraId="42700254">
            <w:pPr>
              <w:widowControl/>
              <w:autoSpaceDE w:val="0"/>
              <w:autoSpaceDN w:val="0"/>
              <w:spacing w:line="280" w:lineRule="exact"/>
              <w:jc w:val="center"/>
              <w:rPr>
                <w:rFonts w:ascii="Times New Roman" w:hAnsi="Times New Roman" w:eastAsia="仿宋_GB2312"/>
                <w:color w:val="auto"/>
                <w:szCs w:val="21"/>
              </w:rPr>
            </w:pPr>
            <w:r>
              <w:rPr>
                <w:rFonts w:hint="eastAsia" w:ascii="Times New Roman" w:hAnsi="Times New Roman" w:eastAsia="仿宋_GB2312"/>
                <w:color w:val="auto"/>
                <w:szCs w:val="21"/>
                <w:lang w:val="en-US" w:eastAsia="zh-CN"/>
              </w:rPr>
              <w:t>1次</w:t>
            </w:r>
          </w:p>
        </w:tc>
        <w:tc>
          <w:tcPr>
            <w:tcW w:w="1491" w:type="dxa"/>
            <w:tcBorders>
              <w:top w:val="single" w:color="auto" w:sz="4" w:space="0"/>
              <w:left w:val="single" w:color="auto" w:sz="4" w:space="0"/>
              <w:bottom w:val="single" w:color="auto" w:sz="4" w:space="0"/>
              <w:right w:val="single" w:color="auto" w:sz="4" w:space="0"/>
            </w:tcBorders>
            <w:shd w:val="clear" w:color="auto" w:fill="auto"/>
            <w:vAlign w:val="center"/>
          </w:tcPr>
          <w:p w14:paraId="13D1B052">
            <w:pPr>
              <w:widowControl/>
              <w:autoSpaceDE w:val="0"/>
              <w:autoSpaceDN w:val="0"/>
              <w:spacing w:line="280" w:lineRule="exact"/>
              <w:jc w:val="center"/>
              <w:rPr>
                <w:rFonts w:ascii="Times New Roman" w:hAnsi="Times New Roman" w:eastAsia="仿宋_GB2312"/>
                <w:color w:val="auto"/>
                <w:szCs w:val="21"/>
              </w:rPr>
            </w:pPr>
            <w:r>
              <w:rPr>
                <w:rFonts w:hint="eastAsia" w:ascii="Times New Roman" w:hAnsi="Times New Roman" w:eastAsia="仿宋_GB2312"/>
                <w:color w:val="auto"/>
                <w:szCs w:val="21"/>
              </w:rPr>
              <w:t>320217883000</w:t>
            </w:r>
          </w:p>
        </w:tc>
        <w:tc>
          <w:tcPr>
            <w:tcW w:w="1481" w:type="dxa"/>
            <w:tcBorders>
              <w:top w:val="single" w:color="auto" w:sz="4" w:space="0"/>
              <w:left w:val="single" w:color="auto" w:sz="4" w:space="0"/>
              <w:bottom w:val="single" w:color="auto" w:sz="4" w:space="0"/>
              <w:right w:val="single" w:color="auto" w:sz="4" w:space="0"/>
            </w:tcBorders>
            <w:shd w:val="clear" w:color="auto" w:fill="auto"/>
            <w:vAlign w:val="center"/>
          </w:tcPr>
          <w:p w14:paraId="2618CC1D">
            <w:pPr>
              <w:widowControl/>
              <w:autoSpaceDE w:val="0"/>
              <w:autoSpaceDN w:val="0"/>
              <w:spacing w:line="280" w:lineRule="exact"/>
              <w:rPr>
                <w:rFonts w:ascii="Times New Roman" w:hAnsi="Times New Roman" w:eastAsia="仿宋_GB2312"/>
                <w:color w:val="auto"/>
                <w:szCs w:val="21"/>
              </w:rPr>
            </w:pPr>
            <w:r>
              <w:rPr>
                <w:rFonts w:hint="eastAsia" w:ascii="Times New Roman" w:hAnsi="Times New Roman" w:eastAsia="仿宋_GB2312"/>
                <w:color w:val="auto"/>
                <w:szCs w:val="21"/>
              </w:rPr>
              <w:t>对建设单位或者施工总承包单位拒不提供或者无法提供工程施工合同、农民工工资专用账户有关资料的处罚</w:t>
            </w:r>
          </w:p>
        </w:tc>
        <w:tc>
          <w:tcPr>
            <w:tcW w:w="622" w:type="dxa"/>
            <w:tcBorders>
              <w:top w:val="single" w:color="auto" w:sz="4" w:space="0"/>
              <w:left w:val="single" w:color="auto" w:sz="4" w:space="0"/>
              <w:bottom w:val="single" w:color="auto" w:sz="4" w:space="0"/>
              <w:right w:val="single" w:color="auto" w:sz="4" w:space="0"/>
            </w:tcBorders>
            <w:shd w:val="clear" w:color="auto" w:fill="auto"/>
            <w:vAlign w:val="center"/>
          </w:tcPr>
          <w:p w14:paraId="55461B9D">
            <w:pPr>
              <w:spacing w:line="280" w:lineRule="exact"/>
              <w:jc w:val="center"/>
              <w:rPr>
                <w:rFonts w:ascii="Times New Roman" w:hAnsi="Times New Roman" w:eastAsia="仿宋_GB2312"/>
                <w:color w:val="auto"/>
                <w:kern w:val="0"/>
                <w:szCs w:val="21"/>
              </w:rPr>
            </w:pPr>
          </w:p>
        </w:tc>
      </w:tr>
      <w:tr w14:paraId="42315E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1" w:hRule="atLeast"/>
          <w:jc w:val="center"/>
        </w:trPr>
        <w:tc>
          <w:tcPr>
            <w:tcW w:w="536" w:type="dxa"/>
            <w:tcBorders>
              <w:top w:val="single" w:color="auto" w:sz="4" w:space="0"/>
              <w:left w:val="single" w:color="auto" w:sz="4" w:space="0"/>
              <w:bottom w:val="single" w:color="auto" w:sz="4" w:space="0"/>
              <w:right w:val="single" w:color="auto" w:sz="4" w:space="0"/>
            </w:tcBorders>
            <w:shd w:val="clear" w:color="auto" w:fill="auto"/>
            <w:vAlign w:val="center"/>
          </w:tcPr>
          <w:p w14:paraId="78994655">
            <w:pPr>
              <w:widowControl/>
              <w:autoSpaceDE w:val="0"/>
              <w:autoSpaceDN w:val="0"/>
              <w:spacing w:line="280" w:lineRule="exact"/>
              <w:jc w:val="center"/>
              <w:rPr>
                <w:rFonts w:ascii="Times New Roman" w:hAnsi="Times New Roman" w:eastAsia="仿宋_GB2312"/>
                <w:color w:val="auto"/>
                <w:szCs w:val="21"/>
              </w:rPr>
            </w:pPr>
            <w:r>
              <w:rPr>
                <w:rFonts w:hint="eastAsia" w:ascii="Times New Roman" w:hAnsi="Times New Roman" w:eastAsia="仿宋_GB2312"/>
                <w:color w:val="auto"/>
                <w:szCs w:val="21"/>
              </w:rPr>
              <w:t>7</w:t>
            </w:r>
          </w:p>
        </w:tc>
        <w:tc>
          <w:tcPr>
            <w:tcW w:w="1324" w:type="dxa"/>
            <w:tcBorders>
              <w:top w:val="single" w:color="auto" w:sz="4" w:space="0"/>
              <w:left w:val="single" w:color="auto" w:sz="4" w:space="0"/>
              <w:bottom w:val="single" w:color="auto" w:sz="4" w:space="0"/>
              <w:right w:val="single" w:color="auto" w:sz="4" w:space="0"/>
            </w:tcBorders>
            <w:shd w:val="clear" w:color="auto" w:fill="auto"/>
            <w:vAlign w:val="center"/>
          </w:tcPr>
          <w:p w14:paraId="37026917">
            <w:pPr>
              <w:widowControl/>
              <w:autoSpaceDE w:val="0"/>
              <w:autoSpaceDN w:val="0"/>
              <w:spacing w:line="280" w:lineRule="exact"/>
              <w:jc w:val="left"/>
              <w:rPr>
                <w:rFonts w:ascii="Times New Roman" w:hAnsi="Times New Roman" w:eastAsia="仿宋_GB2312"/>
                <w:color w:val="auto"/>
                <w:szCs w:val="21"/>
              </w:rPr>
            </w:pPr>
            <w:r>
              <w:rPr>
                <w:rFonts w:hint="eastAsia" w:ascii="Times New Roman" w:hAnsi="Times New Roman" w:eastAsia="仿宋_GB2312"/>
                <w:color w:val="auto"/>
                <w:szCs w:val="21"/>
              </w:rPr>
              <w:t>对白蚁预防和灭治工作的检查</w:t>
            </w:r>
          </w:p>
        </w:tc>
        <w:tc>
          <w:tcPr>
            <w:tcW w:w="794" w:type="dxa"/>
            <w:tcBorders>
              <w:top w:val="single" w:color="auto" w:sz="4" w:space="0"/>
              <w:left w:val="single" w:color="auto" w:sz="4" w:space="0"/>
              <w:bottom w:val="single" w:color="auto" w:sz="4" w:space="0"/>
              <w:right w:val="single" w:color="auto" w:sz="4" w:space="0"/>
            </w:tcBorders>
            <w:shd w:val="clear" w:color="auto" w:fill="auto"/>
            <w:vAlign w:val="center"/>
          </w:tcPr>
          <w:p w14:paraId="2E5EFF31">
            <w:pPr>
              <w:widowControl/>
              <w:autoSpaceDE w:val="0"/>
              <w:autoSpaceDN w:val="0"/>
              <w:spacing w:line="280" w:lineRule="exact"/>
              <w:jc w:val="center"/>
              <w:rPr>
                <w:rFonts w:ascii="Times New Roman" w:hAnsi="Times New Roman" w:eastAsia="仿宋_GB2312"/>
                <w:color w:val="auto"/>
                <w:szCs w:val="21"/>
              </w:rPr>
            </w:pPr>
            <w:r>
              <w:rPr>
                <w:rFonts w:hint="eastAsia" w:ascii="Times New Roman" w:hAnsi="Times New Roman" w:eastAsia="仿宋_GB2312"/>
                <w:color w:val="auto"/>
                <w:szCs w:val="21"/>
              </w:rPr>
              <w:t>苏州市相城区住房和城乡建设局</w:t>
            </w:r>
          </w:p>
        </w:tc>
        <w:tc>
          <w:tcPr>
            <w:tcW w:w="872" w:type="dxa"/>
            <w:tcBorders>
              <w:top w:val="single" w:color="auto" w:sz="4" w:space="0"/>
              <w:left w:val="single" w:color="auto" w:sz="4" w:space="0"/>
              <w:bottom w:val="single" w:color="auto" w:sz="4" w:space="0"/>
              <w:right w:val="single" w:color="auto" w:sz="4" w:space="0"/>
            </w:tcBorders>
            <w:shd w:val="clear" w:color="auto" w:fill="auto"/>
            <w:vAlign w:val="center"/>
          </w:tcPr>
          <w:p w14:paraId="7B38E4F1">
            <w:pPr>
              <w:widowControl/>
              <w:autoSpaceDE w:val="0"/>
              <w:autoSpaceDN w:val="0"/>
              <w:spacing w:line="280" w:lineRule="exact"/>
              <w:jc w:val="center"/>
              <w:rPr>
                <w:rFonts w:ascii="Times New Roman" w:hAnsi="Times New Roman" w:eastAsia="仿宋_GB2312"/>
                <w:color w:val="auto"/>
                <w:szCs w:val="21"/>
              </w:rPr>
            </w:pPr>
            <w:r>
              <w:rPr>
                <w:rFonts w:hint="eastAsia" w:ascii="Times New Roman" w:hAnsi="Times New Roman" w:eastAsia="仿宋_GB2312"/>
                <w:color w:val="auto"/>
                <w:szCs w:val="21"/>
              </w:rPr>
              <w:t>相城区住房保障中心</w:t>
            </w:r>
          </w:p>
        </w:tc>
        <w:tc>
          <w:tcPr>
            <w:tcW w:w="869" w:type="dxa"/>
            <w:tcBorders>
              <w:top w:val="single" w:color="auto" w:sz="4" w:space="0"/>
              <w:left w:val="single" w:color="auto" w:sz="4" w:space="0"/>
              <w:bottom w:val="single" w:color="auto" w:sz="4" w:space="0"/>
              <w:right w:val="single" w:color="auto" w:sz="4" w:space="0"/>
            </w:tcBorders>
            <w:shd w:val="clear" w:color="auto" w:fill="auto"/>
            <w:vAlign w:val="center"/>
          </w:tcPr>
          <w:p w14:paraId="325B18E7">
            <w:pPr>
              <w:widowControl/>
              <w:autoSpaceDE w:val="0"/>
              <w:autoSpaceDN w:val="0"/>
              <w:spacing w:line="280" w:lineRule="exact"/>
              <w:jc w:val="center"/>
              <w:rPr>
                <w:rFonts w:ascii="Times New Roman" w:hAnsi="Times New Roman" w:eastAsia="仿宋_GB2312"/>
                <w:color w:val="auto"/>
                <w:szCs w:val="21"/>
              </w:rPr>
            </w:pPr>
            <w:r>
              <w:rPr>
                <w:rFonts w:hint="eastAsia" w:ascii="Times New Roman" w:hAnsi="Times New Roman" w:eastAsia="仿宋_GB2312"/>
                <w:color w:val="auto"/>
                <w:szCs w:val="21"/>
              </w:rPr>
              <w:t>建设</w:t>
            </w:r>
          </w:p>
          <w:p w14:paraId="11911CA0">
            <w:pPr>
              <w:widowControl/>
              <w:autoSpaceDE w:val="0"/>
              <w:autoSpaceDN w:val="0"/>
              <w:spacing w:line="280" w:lineRule="exact"/>
              <w:jc w:val="center"/>
              <w:rPr>
                <w:rFonts w:ascii="Times New Roman" w:hAnsi="Times New Roman" w:eastAsia="仿宋_GB2312"/>
                <w:color w:val="auto"/>
                <w:szCs w:val="21"/>
              </w:rPr>
            </w:pPr>
            <w:r>
              <w:rPr>
                <w:rFonts w:hint="eastAsia" w:ascii="Times New Roman" w:hAnsi="Times New Roman" w:eastAsia="仿宋_GB2312"/>
                <w:color w:val="auto"/>
                <w:szCs w:val="21"/>
              </w:rPr>
              <w:t>单位</w:t>
            </w:r>
          </w:p>
        </w:tc>
        <w:tc>
          <w:tcPr>
            <w:tcW w:w="4962" w:type="dxa"/>
            <w:tcBorders>
              <w:top w:val="single" w:color="auto" w:sz="4" w:space="0"/>
              <w:left w:val="single" w:color="auto" w:sz="4" w:space="0"/>
              <w:bottom w:val="single" w:color="auto" w:sz="4" w:space="0"/>
              <w:right w:val="single" w:color="auto" w:sz="4" w:space="0"/>
            </w:tcBorders>
            <w:shd w:val="clear" w:color="auto" w:fill="auto"/>
            <w:vAlign w:val="center"/>
          </w:tcPr>
          <w:p w14:paraId="5FC5BEB3">
            <w:pPr>
              <w:widowControl/>
              <w:autoSpaceDE w:val="0"/>
              <w:autoSpaceDN w:val="0"/>
              <w:spacing w:line="280" w:lineRule="exact"/>
              <w:jc w:val="left"/>
              <w:rPr>
                <w:rFonts w:ascii="Times New Roman" w:hAnsi="Times New Roman" w:eastAsia="仿宋_GB2312"/>
                <w:color w:val="auto"/>
                <w:szCs w:val="21"/>
              </w:rPr>
            </w:pPr>
            <w:r>
              <w:rPr>
                <w:rFonts w:hint="eastAsia" w:ascii="Times New Roman" w:hAnsi="Times New Roman" w:eastAsia="仿宋_GB2312"/>
                <w:color w:val="auto"/>
                <w:szCs w:val="21"/>
              </w:rPr>
              <w:t>【规章】《城市房屋白蚁防治管理规定》</w:t>
            </w:r>
          </w:p>
          <w:p w14:paraId="063227B9">
            <w:pPr>
              <w:widowControl/>
              <w:autoSpaceDE w:val="0"/>
              <w:autoSpaceDN w:val="0"/>
              <w:spacing w:line="280" w:lineRule="exact"/>
              <w:ind w:firstLine="435"/>
              <w:jc w:val="left"/>
              <w:rPr>
                <w:rFonts w:ascii="Times New Roman" w:hAnsi="Times New Roman" w:eastAsia="仿宋_GB2312"/>
                <w:color w:val="auto"/>
                <w:szCs w:val="21"/>
              </w:rPr>
            </w:pPr>
            <w:r>
              <w:rPr>
                <w:rFonts w:hint="eastAsia" w:ascii="Times New Roman" w:hAnsi="Times New Roman" w:eastAsia="仿宋_GB2312"/>
                <w:color w:val="auto"/>
                <w:szCs w:val="21"/>
              </w:rPr>
              <w:t>第十一条第二款  建设单位在办理房屋产权登记手续时，应当向房地产行政主管部门出具按照本规定实施房屋白蚁预防的证明文件。</w:t>
            </w:r>
          </w:p>
          <w:p w14:paraId="262BCF8A">
            <w:pPr>
              <w:widowControl/>
              <w:autoSpaceDE w:val="0"/>
              <w:autoSpaceDN w:val="0"/>
              <w:spacing w:line="280" w:lineRule="exact"/>
              <w:ind w:firstLine="435"/>
              <w:jc w:val="left"/>
              <w:rPr>
                <w:rFonts w:ascii="Times New Roman" w:hAnsi="Times New Roman" w:eastAsia="仿宋_GB2312"/>
                <w:color w:val="auto"/>
                <w:szCs w:val="21"/>
              </w:rPr>
            </w:pPr>
            <w:r>
              <w:rPr>
                <w:rFonts w:hint="eastAsia" w:ascii="Times New Roman" w:hAnsi="Times New Roman" w:eastAsia="仿宋_GB2312"/>
                <w:color w:val="auto"/>
                <w:szCs w:val="21"/>
              </w:rPr>
              <w:t xml:space="preserve">第十二条　原有房屋和超过白蚁预防包治期限的房屋发生蚁害的，房屋所有人、使用人或者房屋管理单位应当委托白蚁防治单位进行灭治。 </w:t>
            </w:r>
          </w:p>
          <w:p w14:paraId="7A732DB5">
            <w:pPr>
              <w:widowControl/>
              <w:autoSpaceDE w:val="0"/>
              <w:autoSpaceDN w:val="0"/>
              <w:spacing w:line="280" w:lineRule="exact"/>
              <w:ind w:firstLine="435"/>
              <w:jc w:val="left"/>
              <w:rPr>
                <w:rFonts w:ascii="Times New Roman" w:hAnsi="Times New Roman" w:eastAsia="仿宋_GB2312"/>
                <w:color w:val="auto"/>
                <w:szCs w:val="21"/>
              </w:rPr>
            </w:pPr>
            <w:r>
              <w:rPr>
                <w:rFonts w:hint="eastAsia" w:ascii="Times New Roman" w:hAnsi="Times New Roman" w:eastAsia="仿宋_GB2312"/>
                <w:color w:val="auto"/>
                <w:szCs w:val="21"/>
              </w:rPr>
              <w:t>房屋所有人、使用人以及房屋管理单位应当配合白蚁防治单位进行白蚁的检查和灭治工作。</w:t>
            </w:r>
          </w:p>
        </w:tc>
        <w:tc>
          <w:tcPr>
            <w:tcW w:w="992" w:type="dxa"/>
            <w:tcBorders>
              <w:top w:val="single" w:color="auto" w:sz="4" w:space="0"/>
              <w:left w:val="single" w:color="auto" w:sz="4" w:space="0"/>
              <w:bottom w:val="single" w:color="auto" w:sz="4" w:space="0"/>
              <w:right w:val="single" w:color="auto" w:sz="4" w:space="0"/>
            </w:tcBorders>
            <w:shd w:val="clear" w:color="auto" w:fill="auto"/>
            <w:vAlign w:val="center"/>
          </w:tcPr>
          <w:p w14:paraId="6D32110F">
            <w:pPr>
              <w:widowControl/>
              <w:autoSpaceDE w:val="0"/>
              <w:autoSpaceDN w:val="0"/>
              <w:spacing w:line="280" w:lineRule="exact"/>
              <w:jc w:val="center"/>
              <w:rPr>
                <w:rFonts w:ascii="Times New Roman" w:hAnsi="Times New Roman" w:eastAsia="仿宋_GB2312"/>
                <w:color w:val="auto"/>
                <w:szCs w:val="21"/>
              </w:rPr>
            </w:pPr>
            <w:r>
              <w:rPr>
                <w:rFonts w:hint="eastAsia" w:ascii="Times New Roman" w:hAnsi="Times New Roman" w:eastAsia="仿宋_GB2312"/>
                <w:color w:val="auto"/>
                <w:szCs w:val="21"/>
              </w:rPr>
              <w:t>抽查</w:t>
            </w:r>
          </w:p>
        </w:tc>
        <w:tc>
          <w:tcPr>
            <w:tcW w:w="1139" w:type="dxa"/>
            <w:tcBorders>
              <w:top w:val="single" w:color="auto" w:sz="4" w:space="0"/>
              <w:left w:val="single" w:color="auto" w:sz="4" w:space="0"/>
              <w:bottom w:val="single" w:color="auto" w:sz="4" w:space="0"/>
              <w:right w:val="single" w:color="auto" w:sz="4" w:space="0"/>
            </w:tcBorders>
            <w:shd w:val="clear" w:color="auto" w:fill="auto"/>
            <w:vAlign w:val="center"/>
          </w:tcPr>
          <w:p w14:paraId="40289C14">
            <w:pPr>
              <w:widowControl/>
              <w:autoSpaceDE w:val="0"/>
              <w:autoSpaceDN w:val="0"/>
              <w:spacing w:line="280" w:lineRule="exact"/>
              <w:jc w:val="center"/>
              <w:rPr>
                <w:rFonts w:ascii="Times New Roman" w:hAnsi="Times New Roman" w:eastAsia="仿宋_GB2312"/>
                <w:color w:val="auto"/>
                <w:szCs w:val="21"/>
              </w:rPr>
            </w:pPr>
            <w:r>
              <w:rPr>
                <w:rFonts w:hint="eastAsia" w:ascii="Times New Roman" w:hAnsi="Times New Roman" w:eastAsia="仿宋_GB2312"/>
                <w:color w:val="auto"/>
                <w:szCs w:val="21"/>
              </w:rPr>
              <w:t>全年</w:t>
            </w:r>
          </w:p>
        </w:tc>
        <w:tc>
          <w:tcPr>
            <w:tcW w:w="1491" w:type="dxa"/>
            <w:tcBorders>
              <w:top w:val="single" w:color="auto" w:sz="4" w:space="0"/>
              <w:left w:val="single" w:color="auto" w:sz="4" w:space="0"/>
              <w:bottom w:val="single" w:color="auto" w:sz="4" w:space="0"/>
              <w:right w:val="single" w:color="auto" w:sz="4" w:space="0"/>
            </w:tcBorders>
            <w:shd w:val="clear" w:color="auto" w:fill="auto"/>
            <w:vAlign w:val="center"/>
          </w:tcPr>
          <w:p w14:paraId="3563B06D">
            <w:pPr>
              <w:widowControl/>
              <w:autoSpaceDE w:val="0"/>
              <w:autoSpaceDN w:val="0"/>
              <w:spacing w:line="280" w:lineRule="exact"/>
              <w:jc w:val="center"/>
              <w:rPr>
                <w:rFonts w:ascii="Times New Roman" w:hAnsi="Times New Roman" w:eastAsia="仿宋_GB2312"/>
                <w:color w:val="auto"/>
                <w:szCs w:val="21"/>
              </w:rPr>
            </w:pPr>
            <w:r>
              <w:rPr>
                <w:rFonts w:hint="eastAsia" w:ascii="Times New Roman" w:hAnsi="Times New Roman" w:eastAsia="仿宋_GB2312"/>
                <w:color w:val="auto"/>
                <w:szCs w:val="21"/>
              </w:rPr>
              <w:t>320217527000</w:t>
            </w:r>
          </w:p>
        </w:tc>
        <w:tc>
          <w:tcPr>
            <w:tcW w:w="1481" w:type="dxa"/>
            <w:tcBorders>
              <w:top w:val="single" w:color="auto" w:sz="4" w:space="0"/>
              <w:left w:val="single" w:color="auto" w:sz="4" w:space="0"/>
              <w:bottom w:val="single" w:color="auto" w:sz="4" w:space="0"/>
              <w:right w:val="single" w:color="auto" w:sz="4" w:space="0"/>
            </w:tcBorders>
            <w:shd w:val="clear" w:color="auto" w:fill="auto"/>
            <w:vAlign w:val="center"/>
          </w:tcPr>
          <w:p w14:paraId="24FEEAD6">
            <w:pPr>
              <w:widowControl/>
              <w:autoSpaceDE w:val="0"/>
              <w:autoSpaceDN w:val="0"/>
              <w:spacing w:line="280" w:lineRule="exact"/>
              <w:rPr>
                <w:rFonts w:ascii="Times New Roman" w:hAnsi="Times New Roman" w:eastAsia="仿宋_GB2312"/>
                <w:color w:val="auto"/>
                <w:szCs w:val="21"/>
              </w:rPr>
            </w:pPr>
            <w:r>
              <w:rPr>
                <w:rFonts w:hint="eastAsia" w:ascii="Times New Roman" w:hAnsi="Times New Roman" w:eastAsia="仿宋_GB2312"/>
                <w:color w:val="auto"/>
                <w:szCs w:val="21"/>
              </w:rPr>
              <w:t>对建设单位未按照规定进行白蚁预防的处罚</w:t>
            </w:r>
          </w:p>
        </w:tc>
        <w:tc>
          <w:tcPr>
            <w:tcW w:w="622" w:type="dxa"/>
            <w:tcBorders>
              <w:top w:val="single" w:color="auto" w:sz="4" w:space="0"/>
              <w:left w:val="single" w:color="auto" w:sz="4" w:space="0"/>
              <w:bottom w:val="single" w:color="auto" w:sz="4" w:space="0"/>
              <w:right w:val="single" w:color="auto" w:sz="4" w:space="0"/>
            </w:tcBorders>
            <w:shd w:val="clear" w:color="auto" w:fill="auto"/>
            <w:vAlign w:val="center"/>
          </w:tcPr>
          <w:p w14:paraId="6F7092BD">
            <w:pPr>
              <w:spacing w:line="280" w:lineRule="exact"/>
              <w:jc w:val="center"/>
              <w:rPr>
                <w:rFonts w:ascii="Times New Roman" w:hAnsi="Times New Roman" w:eastAsia="仿宋_GB2312"/>
                <w:color w:val="auto"/>
                <w:kern w:val="0"/>
                <w:szCs w:val="21"/>
              </w:rPr>
            </w:pPr>
          </w:p>
        </w:tc>
      </w:tr>
      <w:tr w14:paraId="1DE1C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3" w:hRule="atLeast"/>
          <w:jc w:val="center"/>
        </w:trPr>
        <w:tc>
          <w:tcPr>
            <w:tcW w:w="536" w:type="dxa"/>
            <w:tcBorders>
              <w:top w:val="single" w:color="auto" w:sz="4" w:space="0"/>
              <w:left w:val="single" w:color="auto" w:sz="4" w:space="0"/>
              <w:bottom w:val="single" w:color="auto" w:sz="4" w:space="0"/>
              <w:right w:val="single" w:color="auto" w:sz="4" w:space="0"/>
            </w:tcBorders>
            <w:shd w:val="clear" w:color="auto" w:fill="auto"/>
            <w:vAlign w:val="center"/>
          </w:tcPr>
          <w:p w14:paraId="136E20AE">
            <w:pPr>
              <w:widowControl/>
              <w:autoSpaceDE w:val="0"/>
              <w:autoSpaceDN w:val="0"/>
              <w:spacing w:line="280" w:lineRule="exact"/>
              <w:jc w:val="center"/>
              <w:rPr>
                <w:rFonts w:ascii="Times New Roman" w:hAnsi="Times New Roman" w:eastAsia="仿宋_GB2312"/>
                <w:color w:val="auto"/>
                <w:szCs w:val="21"/>
              </w:rPr>
            </w:pPr>
            <w:r>
              <w:rPr>
                <w:rFonts w:hint="eastAsia" w:ascii="Times New Roman" w:hAnsi="Times New Roman" w:eastAsia="仿宋_GB2312"/>
                <w:color w:val="auto"/>
                <w:szCs w:val="21"/>
              </w:rPr>
              <w:t>7</w:t>
            </w:r>
          </w:p>
        </w:tc>
        <w:tc>
          <w:tcPr>
            <w:tcW w:w="1324" w:type="dxa"/>
            <w:tcBorders>
              <w:top w:val="single" w:color="auto" w:sz="4" w:space="0"/>
              <w:left w:val="single" w:color="auto" w:sz="4" w:space="0"/>
              <w:bottom w:val="single" w:color="auto" w:sz="4" w:space="0"/>
              <w:right w:val="single" w:color="auto" w:sz="4" w:space="0"/>
            </w:tcBorders>
            <w:shd w:val="clear" w:color="auto" w:fill="auto"/>
            <w:vAlign w:val="center"/>
          </w:tcPr>
          <w:p w14:paraId="52A33052">
            <w:pPr>
              <w:widowControl/>
              <w:autoSpaceDE w:val="0"/>
              <w:autoSpaceDN w:val="0"/>
              <w:spacing w:line="280" w:lineRule="exact"/>
              <w:jc w:val="left"/>
              <w:rPr>
                <w:rFonts w:ascii="Times New Roman" w:hAnsi="Times New Roman" w:eastAsia="仿宋_GB2312"/>
                <w:color w:val="auto"/>
                <w:szCs w:val="21"/>
              </w:rPr>
            </w:pPr>
            <w:r>
              <w:rPr>
                <w:rFonts w:hint="eastAsia" w:ascii="Times New Roman" w:hAnsi="Times New Roman" w:eastAsia="仿宋_GB2312"/>
                <w:color w:val="auto"/>
                <w:szCs w:val="21"/>
              </w:rPr>
              <w:t>对白蚁预防和灭治工作的检查</w:t>
            </w:r>
          </w:p>
        </w:tc>
        <w:tc>
          <w:tcPr>
            <w:tcW w:w="794" w:type="dxa"/>
            <w:tcBorders>
              <w:top w:val="single" w:color="auto" w:sz="4" w:space="0"/>
              <w:left w:val="single" w:color="auto" w:sz="4" w:space="0"/>
              <w:bottom w:val="single" w:color="auto" w:sz="4" w:space="0"/>
              <w:right w:val="single" w:color="auto" w:sz="4" w:space="0"/>
            </w:tcBorders>
            <w:shd w:val="clear" w:color="auto" w:fill="auto"/>
            <w:vAlign w:val="center"/>
          </w:tcPr>
          <w:p w14:paraId="422A7E72">
            <w:pPr>
              <w:widowControl/>
              <w:autoSpaceDE w:val="0"/>
              <w:autoSpaceDN w:val="0"/>
              <w:spacing w:line="280" w:lineRule="exact"/>
              <w:jc w:val="center"/>
              <w:rPr>
                <w:rFonts w:ascii="Times New Roman" w:hAnsi="Times New Roman" w:eastAsia="仿宋_GB2312"/>
                <w:color w:val="auto"/>
                <w:szCs w:val="21"/>
              </w:rPr>
            </w:pPr>
            <w:r>
              <w:rPr>
                <w:rFonts w:hint="eastAsia" w:ascii="Times New Roman" w:hAnsi="Times New Roman" w:eastAsia="仿宋_GB2312"/>
                <w:color w:val="auto"/>
                <w:szCs w:val="21"/>
              </w:rPr>
              <w:t>苏州市相城区住房和城乡建设局</w:t>
            </w:r>
          </w:p>
        </w:tc>
        <w:tc>
          <w:tcPr>
            <w:tcW w:w="872" w:type="dxa"/>
            <w:tcBorders>
              <w:top w:val="single" w:color="auto" w:sz="4" w:space="0"/>
              <w:left w:val="single" w:color="auto" w:sz="4" w:space="0"/>
              <w:bottom w:val="single" w:color="auto" w:sz="4" w:space="0"/>
              <w:right w:val="single" w:color="auto" w:sz="4" w:space="0"/>
            </w:tcBorders>
            <w:shd w:val="clear" w:color="auto" w:fill="auto"/>
            <w:vAlign w:val="center"/>
          </w:tcPr>
          <w:p w14:paraId="572A6A23">
            <w:pPr>
              <w:widowControl/>
              <w:autoSpaceDE w:val="0"/>
              <w:autoSpaceDN w:val="0"/>
              <w:spacing w:line="280" w:lineRule="exact"/>
              <w:jc w:val="center"/>
              <w:rPr>
                <w:rFonts w:ascii="Times New Roman" w:hAnsi="Times New Roman" w:eastAsia="仿宋_GB2312"/>
                <w:color w:val="auto"/>
                <w:szCs w:val="21"/>
              </w:rPr>
            </w:pPr>
            <w:r>
              <w:rPr>
                <w:rFonts w:hint="eastAsia" w:ascii="Times New Roman" w:hAnsi="Times New Roman" w:eastAsia="仿宋_GB2312"/>
                <w:color w:val="auto"/>
                <w:szCs w:val="21"/>
              </w:rPr>
              <w:t>相城区住房保障中心</w:t>
            </w:r>
          </w:p>
        </w:tc>
        <w:tc>
          <w:tcPr>
            <w:tcW w:w="869" w:type="dxa"/>
            <w:tcBorders>
              <w:top w:val="single" w:color="auto" w:sz="4" w:space="0"/>
              <w:left w:val="single" w:color="auto" w:sz="4" w:space="0"/>
              <w:bottom w:val="single" w:color="auto" w:sz="4" w:space="0"/>
              <w:right w:val="single" w:color="auto" w:sz="4" w:space="0"/>
            </w:tcBorders>
            <w:shd w:val="clear" w:color="auto" w:fill="auto"/>
            <w:vAlign w:val="center"/>
          </w:tcPr>
          <w:p w14:paraId="1DAEC1C2">
            <w:pPr>
              <w:widowControl/>
              <w:autoSpaceDE w:val="0"/>
              <w:autoSpaceDN w:val="0"/>
              <w:spacing w:line="280" w:lineRule="exact"/>
              <w:jc w:val="left"/>
              <w:rPr>
                <w:rFonts w:ascii="Times New Roman" w:hAnsi="Times New Roman" w:eastAsia="仿宋_GB2312"/>
                <w:color w:val="auto"/>
                <w:szCs w:val="21"/>
              </w:rPr>
            </w:pPr>
            <w:r>
              <w:rPr>
                <w:rFonts w:hint="eastAsia" w:ascii="Times New Roman" w:hAnsi="Times New Roman" w:eastAsia="仿宋_GB2312"/>
                <w:color w:val="auto"/>
                <w:szCs w:val="21"/>
              </w:rPr>
              <w:t>房屋所有人、使用人或者房屋管理单位</w:t>
            </w:r>
          </w:p>
        </w:tc>
        <w:tc>
          <w:tcPr>
            <w:tcW w:w="4962" w:type="dxa"/>
            <w:tcBorders>
              <w:top w:val="single" w:color="auto" w:sz="4" w:space="0"/>
              <w:left w:val="single" w:color="auto" w:sz="4" w:space="0"/>
              <w:bottom w:val="single" w:color="auto" w:sz="4" w:space="0"/>
              <w:right w:val="single" w:color="auto" w:sz="4" w:space="0"/>
            </w:tcBorders>
            <w:shd w:val="clear" w:color="auto" w:fill="auto"/>
            <w:vAlign w:val="center"/>
          </w:tcPr>
          <w:p w14:paraId="35943874">
            <w:pPr>
              <w:widowControl/>
              <w:autoSpaceDE w:val="0"/>
              <w:autoSpaceDN w:val="0"/>
              <w:spacing w:line="280" w:lineRule="exact"/>
              <w:ind w:firstLine="435"/>
              <w:jc w:val="left"/>
              <w:rPr>
                <w:rFonts w:ascii="Times New Roman" w:hAnsi="Times New Roman" w:eastAsia="仿宋_GB2312"/>
                <w:color w:val="auto"/>
                <w:szCs w:val="21"/>
              </w:rPr>
            </w:pPr>
            <w:r>
              <w:rPr>
                <w:rFonts w:hint="eastAsia" w:ascii="Times New Roman" w:hAnsi="Times New Roman" w:eastAsia="仿宋_GB2312"/>
                <w:color w:val="auto"/>
                <w:szCs w:val="21"/>
              </w:rPr>
              <w:t>第十六条第二款  建设单位未按照本规定进行白蚁预防的，由房屋所在地的县级以上地方人民政府房地产行政主管部门责令限期改正，并处以1万元以上3万元以下的罚款。</w:t>
            </w:r>
          </w:p>
          <w:p w14:paraId="4C9EF002">
            <w:pPr>
              <w:widowControl/>
              <w:autoSpaceDE w:val="0"/>
              <w:autoSpaceDN w:val="0"/>
              <w:spacing w:line="280" w:lineRule="exact"/>
              <w:ind w:firstLine="420" w:firstLineChars="200"/>
              <w:jc w:val="left"/>
              <w:rPr>
                <w:rFonts w:ascii="Times New Roman" w:hAnsi="Times New Roman" w:eastAsia="仿宋_GB2312"/>
                <w:color w:val="auto"/>
                <w:szCs w:val="21"/>
              </w:rPr>
            </w:pPr>
            <w:r>
              <w:rPr>
                <w:rFonts w:hint="eastAsia" w:ascii="Times New Roman" w:hAnsi="Times New Roman" w:eastAsia="仿宋_GB2312"/>
                <w:color w:val="auto"/>
                <w:szCs w:val="21"/>
              </w:rPr>
              <w:t>第十七条　房屋所有人、使用人或者房屋管理单位违反本规定第十二条规定的，房屋所在地的县级以上地方人民政府房地产行政主管部门，可以对责任人处以1000元的罚款。</w:t>
            </w:r>
          </w:p>
        </w:tc>
        <w:tc>
          <w:tcPr>
            <w:tcW w:w="992" w:type="dxa"/>
            <w:tcBorders>
              <w:top w:val="single" w:color="auto" w:sz="4" w:space="0"/>
              <w:left w:val="single" w:color="auto" w:sz="4" w:space="0"/>
              <w:bottom w:val="single" w:color="auto" w:sz="4" w:space="0"/>
              <w:right w:val="single" w:color="auto" w:sz="4" w:space="0"/>
            </w:tcBorders>
            <w:shd w:val="clear" w:color="auto" w:fill="auto"/>
            <w:vAlign w:val="center"/>
          </w:tcPr>
          <w:p w14:paraId="0D301079">
            <w:pPr>
              <w:widowControl/>
              <w:autoSpaceDE w:val="0"/>
              <w:autoSpaceDN w:val="0"/>
              <w:spacing w:line="280" w:lineRule="exact"/>
              <w:jc w:val="center"/>
              <w:rPr>
                <w:rFonts w:ascii="Times New Roman" w:hAnsi="Times New Roman" w:eastAsia="仿宋_GB2312"/>
                <w:color w:val="auto"/>
                <w:szCs w:val="21"/>
              </w:rPr>
            </w:pPr>
            <w:r>
              <w:rPr>
                <w:rFonts w:hint="eastAsia" w:ascii="Times New Roman" w:hAnsi="Times New Roman" w:eastAsia="仿宋_GB2312"/>
                <w:color w:val="auto"/>
                <w:szCs w:val="21"/>
              </w:rPr>
              <w:t>抽查</w:t>
            </w:r>
          </w:p>
        </w:tc>
        <w:tc>
          <w:tcPr>
            <w:tcW w:w="1139" w:type="dxa"/>
            <w:tcBorders>
              <w:top w:val="single" w:color="auto" w:sz="4" w:space="0"/>
              <w:left w:val="single" w:color="auto" w:sz="4" w:space="0"/>
              <w:bottom w:val="single" w:color="auto" w:sz="4" w:space="0"/>
              <w:right w:val="single" w:color="auto" w:sz="4" w:space="0"/>
            </w:tcBorders>
            <w:shd w:val="clear" w:color="auto" w:fill="auto"/>
            <w:vAlign w:val="center"/>
          </w:tcPr>
          <w:p w14:paraId="66CB6B5F">
            <w:pPr>
              <w:widowControl/>
              <w:autoSpaceDE w:val="0"/>
              <w:autoSpaceDN w:val="0"/>
              <w:spacing w:line="280" w:lineRule="exact"/>
              <w:jc w:val="center"/>
              <w:rPr>
                <w:rFonts w:ascii="Times New Roman" w:hAnsi="Times New Roman" w:eastAsia="仿宋_GB2312"/>
                <w:color w:val="auto"/>
                <w:szCs w:val="21"/>
              </w:rPr>
            </w:pPr>
            <w:r>
              <w:rPr>
                <w:rFonts w:hint="eastAsia" w:ascii="Times New Roman" w:hAnsi="Times New Roman" w:eastAsia="仿宋_GB2312"/>
                <w:color w:val="auto"/>
                <w:szCs w:val="21"/>
              </w:rPr>
              <w:t>全年</w:t>
            </w:r>
          </w:p>
        </w:tc>
        <w:tc>
          <w:tcPr>
            <w:tcW w:w="1491" w:type="dxa"/>
            <w:tcBorders>
              <w:top w:val="single" w:color="auto" w:sz="4" w:space="0"/>
              <w:left w:val="single" w:color="auto" w:sz="4" w:space="0"/>
              <w:bottom w:val="single" w:color="auto" w:sz="4" w:space="0"/>
              <w:right w:val="single" w:color="auto" w:sz="4" w:space="0"/>
            </w:tcBorders>
            <w:shd w:val="clear" w:color="auto" w:fill="auto"/>
            <w:vAlign w:val="center"/>
          </w:tcPr>
          <w:p w14:paraId="2625BBB6">
            <w:pPr>
              <w:widowControl/>
              <w:autoSpaceDE w:val="0"/>
              <w:autoSpaceDN w:val="0"/>
              <w:spacing w:line="280" w:lineRule="exact"/>
              <w:jc w:val="center"/>
              <w:rPr>
                <w:rFonts w:ascii="Times New Roman" w:hAnsi="Times New Roman" w:eastAsia="仿宋_GB2312"/>
                <w:color w:val="auto"/>
                <w:szCs w:val="21"/>
              </w:rPr>
            </w:pPr>
            <w:r>
              <w:rPr>
                <w:rFonts w:hint="eastAsia" w:ascii="Times New Roman" w:hAnsi="Times New Roman" w:eastAsia="仿宋_GB2312"/>
                <w:color w:val="auto"/>
                <w:szCs w:val="21"/>
              </w:rPr>
              <w:t>320217528000</w:t>
            </w:r>
          </w:p>
        </w:tc>
        <w:tc>
          <w:tcPr>
            <w:tcW w:w="1481" w:type="dxa"/>
            <w:tcBorders>
              <w:top w:val="single" w:color="auto" w:sz="4" w:space="0"/>
              <w:left w:val="single" w:color="auto" w:sz="4" w:space="0"/>
              <w:bottom w:val="single" w:color="auto" w:sz="4" w:space="0"/>
              <w:right w:val="single" w:color="auto" w:sz="4" w:space="0"/>
            </w:tcBorders>
            <w:shd w:val="clear" w:color="auto" w:fill="auto"/>
            <w:vAlign w:val="center"/>
          </w:tcPr>
          <w:p w14:paraId="0202C845">
            <w:pPr>
              <w:widowControl/>
              <w:autoSpaceDE w:val="0"/>
              <w:autoSpaceDN w:val="0"/>
              <w:spacing w:line="280" w:lineRule="exact"/>
              <w:rPr>
                <w:rFonts w:ascii="Times New Roman" w:hAnsi="Times New Roman" w:eastAsia="仿宋_GB2312"/>
                <w:color w:val="auto"/>
                <w:szCs w:val="21"/>
              </w:rPr>
            </w:pPr>
            <w:r>
              <w:rPr>
                <w:rFonts w:hint="eastAsia" w:ascii="Times New Roman" w:hAnsi="Times New Roman" w:eastAsia="仿宋_GB2312"/>
                <w:color w:val="auto"/>
                <w:szCs w:val="21"/>
              </w:rPr>
              <w:t>对房屋所有人、使用人或者房屋管理单位未按照规定委托白蚁防治单位进行灭治或者配合白蚁防治单位进行白蚁的检查和灭治的处罚</w:t>
            </w:r>
          </w:p>
        </w:tc>
        <w:tc>
          <w:tcPr>
            <w:tcW w:w="622" w:type="dxa"/>
            <w:tcBorders>
              <w:top w:val="single" w:color="auto" w:sz="4" w:space="0"/>
              <w:left w:val="single" w:color="auto" w:sz="4" w:space="0"/>
              <w:bottom w:val="single" w:color="auto" w:sz="4" w:space="0"/>
              <w:right w:val="single" w:color="auto" w:sz="4" w:space="0"/>
            </w:tcBorders>
            <w:shd w:val="clear" w:color="auto" w:fill="auto"/>
            <w:vAlign w:val="center"/>
          </w:tcPr>
          <w:p w14:paraId="61249B08">
            <w:pPr>
              <w:spacing w:line="280" w:lineRule="exact"/>
              <w:jc w:val="center"/>
              <w:rPr>
                <w:rFonts w:ascii="Times New Roman" w:hAnsi="Times New Roman" w:eastAsia="仿宋_GB2312"/>
                <w:color w:val="auto"/>
                <w:kern w:val="0"/>
                <w:szCs w:val="21"/>
              </w:rPr>
            </w:pPr>
          </w:p>
        </w:tc>
      </w:tr>
      <w:tr w14:paraId="5703F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1" w:hRule="atLeast"/>
          <w:jc w:val="center"/>
        </w:trPr>
        <w:tc>
          <w:tcPr>
            <w:tcW w:w="536" w:type="dxa"/>
            <w:tcBorders>
              <w:top w:val="single" w:color="auto" w:sz="4" w:space="0"/>
              <w:left w:val="single" w:color="auto" w:sz="4" w:space="0"/>
              <w:bottom w:val="single" w:color="auto" w:sz="4" w:space="0"/>
              <w:right w:val="single" w:color="auto" w:sz="4" w:space="0"/>
            </w:tcBorders>
            <w:shd w:val="clear" w:color="auto" w:fill="auto"/>
            <w:vAlign w:val="center"/>
          </w:tcPr>
          <w:p w14:paraId="2795F99D">
            <w:pPr>
              <w:widowControl/>
              <w:autoSpaceDE w:val="0"/>
              <w:autoSpaceDN w:val="0"/>
              <w:spacing w:line="280" w:lineRule="exact"/>
              <w:jc w:val="center"/>
              <w:rPr>
                <w:rFonts w:hint="eastAsia" w:ascii="Times New Roman" w:hAnsi="Times New Roman" w:eastAsia="仿宋_GB2312"/>
                <w:color w:val="auto"/>
                <w:szCs w:val="21"/>
                <w:lang w:eastAsia="zh-CN"/>
              </w:rPr>
            </w:pPr>
            <w:r>
              <w:rPr>
                <w:rFonts w:hint="eastAsia" w:ascii="Times New Roman" w:hAnsi="Times New Roman" w:eastAsia="仿宋_GB2312"/>
                <w:color w:val="auto"/>
                <w:szCs w:val="21"/>
                <w:lang w:val="en-US" w:eastAsia="zh-CN"/>
              </w:rPr>
              <w:t>8</w:t>
            </w:r>
          </w:p>
        </w:tc>
        <w:tc>
          <w:tcPr>
            <w:tcW w:w="1324" w:type="dxa"/>
            <w:tcBorders>
              <w:top w:val="single" w:color="auto" w:sz="4" w:space="0"/>
              <w:left w:val="single" w:color="auto" w:sz="4" w:space="0"/>
              <w:bottom w:val="single" w:color="auto" w:sz="4" w:space="0"/>
              <w:right w:val="single" w:color="auto" w:sz="4" w:space="0"/>
            </w:tcBorders>
            <w:shd w:val="clear" w:color="auto" w:fill="auto"/>
            <w:vAlign w:val="center"/>
          </w:tcPr>
          <w:p w14:paraId="6B6428F7">
            <w:pPr>
              <w:widowControl/>
              <w:autoSpaceDE w:val="0"/>
              <w:autoSpaceDN w:val="0"/>
              <w:spacing w:line="280" w:lineRule="exact"/>
              <w:jc w:val="left"/>
              <w:rPr>
                <w:rFonts w:ascii="Times New Roman" w:hAnsi="Times New Roman" w:eastAsia="仿宋_GB2312"/>
                <w:color w:val="auto"/>
                <w:szCs w:val="21"/>
              </w:rPr>
            </w:pPr>
            <w:r>
              <w:rPr>
                <w:rFonts w:hint="eastAsia" w:ascii="Times New Roman" w:hAnsi="Times New Roman" w:eastAsia="仿宋_GB2312"/>
                <w:color w:val="auto"/>
                <w:szCs w:val="21"/>
              </w:rPr>
              <w:t>对房屋安全鉴定工作的检查</w:t>
            </w:r>
          </w:p>
        </w:tc>
        <w:tc>
          <w:tcPr>
            <w:tcW w:w="794" w:type="dxa"/>
            <w:tcBorders>
              <w:top w:val="single" w:color="auto" w:sz="4" w:space="0"/>
              <w:left w:val="single" w:color="auto" w:sz="4" w:space="0"/>
              <w:bottom w:val="single" w:color="auto" w:sz="4" w:space="0"/>
              <w:right w:val="single" w:color="auto" w:sz="4" w:space="0"/>
            </w:tcBorders>
            <w:shd w:val="clear" w:color="auto" w:fill="auto"/>
            <w:vAlign w:val="center"/>
          </w:tcPr>
          <w:p w14:paraId="6A66A6B1">
            <w:pPr>
              <w:widowControl/>
              <w:autoSpaceDE w:val="0"/>
              <w:autoSpaceDN w:val="0"/>
              <w:spacing w:line="280" w:lineRule="exact"/>
              <w:jc w:val="center"/>
              <w:rPr>
                <w:rFonts w:ascii="Times New Roman" w:hAnsi="Times New Roman" w:eastAsia="仿宋_GB2312"/>
                <w:color w:val="auto"/>
                <w:szCs w:val="21"/>
              </w:rPr>
            </w:pPr>
            <w:r>
              <w:rPr>
                <w:rFonts w:hint="eastAsia" w:ascii="Times New Roman" w:hAnsi="Times New Roman" w:eastAsia="仿宋_GB2312"/>
                <w:color w:val="auto"/>
                <w:szCs w:val="21"/>
              </w:rPr>
              <w:t>苏州市相城区住房和城乡建设局</w:t>
            </w:r>
          </w:p>
        </w:tc>
        <w:tc>
          <w:tcPr>
            <w:tcW w:w="872" w:type="dxa"/>
            <w:tcBorders>
              <w:top w:val="single" w:color="auto" w:sz="4" w:space="0"/>
              <w:left w:val="single" w:color="auto" w:sz="4" w:space="0"/>
              <w:bottom w:val="single" w:color="auto" w:sz="4" w:space="0"/>
              <w:right w:val="single" w:color="auto" w:sz="4" w:space="0"/>
            </w:tcBorders>
            <w:shd w:val="clear" w:color="auto" w:fill="auto"/>
            <w:vAlign w:val="center"/>
          </w:tcPr>
          <w:p w14:paraId="30983DFA">
            <w:pPr>
              <w:widowControl/>
              <w:autoSpaceDE w:val="0"/>
              <w:autoSpaceDN w:val="0"/>
              <w:spacing w:line="280" w:lineRule="exact"/>
              <w:jc w:val="center"/>
              <w:rPr>
                <w:rFonts w:ascii="Times New Roman" w:hAnsi="Times New Roman" w:eastAsia="仿宋_GB2312"/>
                <w:color w:val="auto"/>
                <w:szCs w:val="21"/>
              </w:rPr>
            </w:pPr>
            <w:r>
              <w:rPr>
                <w:rFonts w:hint="eastAsia" w:ascii="Times New Roman" w:hAnsi="Times New Roman" w:eastAsia="仿宋_GB2312"/>
                <w:color w:val="auto"/>
                <w:szCs w:val="21"/>
              </w:rPr>
              <w:t>相城区住房保障中心</w:t>
            </w:r>
          </w:p>
        </w:tc>
        <w:tc>
          <w:tcPr>
            <w:tcW w:w="869" w:type="dxa"/>
            <w:tcBorders>
              <w:top w:val="single" w:color="auto" w:sz="4" w:space="0"/>
              <w:left w:val="single" w:color="auto" w:sz="4" w:space="0"/>
              <w:bottom w:val="single" w:color="auto" w:sz="4" w:space="0"/>
              <w:right w:val="single" w:color="auto" w:sz="4" w:space="0"/>
            </w:tcBorders>
            <w:shd w:val="clear" w:color="auto" w:fill="auto"/>
            <w:vAlign w:val="center"/>
          </w:tcPr>
          <w:p w14:paraId="76BDACA0">
            <w:pPr>
              <w:widowControl/>
              <w:autoSpaceDE w:val="0"/>
              <w:autoSpaceDN w:val="0"/>
              <w:spacing w:line="280" w:lineRule="exact"/>
              <w:jc w:val="left"/>
              <w:rPr>
                <w:rFonts w:ascii="Times New Roman" w:hAnsi="Times New Roman" w:eastAsia="仿宋_GB2312"/>
                <w:color w:val="auto"/>
                <w:szCs w:val="21"/>
              </w:rPr>
            </w:pPr>
            <w:r>
              <w:rPr>
                <w:rFonts w:hint="eastAsia" w:ascii="Times New Roman" w:hAnsi="Times New Roman" w:eastAsia="仿宋_GB2312"/>
                <w:color w:val="auto"/>
                <w:szCs w:val="21"/>
              </w:rPr>
              <w:t>房屋使用安全责任人、建设单位</w:t>
            </w:r>
          </w:p>
        </w:tc>
        <w:tc>
          <w:tcPr>
            <w:tcW w:w="4962" w:type="dxa"/>
            <w:tcBorders>
              <w:top w:val="single" w:color="auto" w:sz="4" w:space="0"/>
              <w:left w:val="single" w:color="auto" w:sz="4" w:space="0"/>
              <w:bottom w:val="single" w:color="auto" w:sz="4" w:space="0"/>
              <w:right w:val="single" w:color="auto" w:sz="4" w:space="0"/>
            </w:tcBorders>
            <w:shd w:val="clear" w:color="auto" w:fill="auto"/>
            <w:vAlign w:val="center"/>
          </w:tcPr>
          <w:p w14:paraId="79263AC3">
            <w:pPr>
              <w:widowControl/>
              <w:autoSpaceDE w:val="0"/>
              <w:autoSpaceDN w:val="0"/>
              <w:spacing w:line="280" w:lineRule="exact"/>
              <w:jc w:val="left"/>
              <w:rPr>
                <w:rFonts w:ascii="Times New Roman" w:hAnsi="Times New Roman" w:eastAsia="仿宋_GB2312"/>
                <w:color w:val="auto"/>
                <w:szCs w:val="21"/>
              </w:rPr>
            </w:pPr>
            <w:r>
              <w:rPr>
                <w:rFonts w:hint="eastAsia" w:ascii="Times New Roman" w:hAnsi="Times New Roman" w:eastAsia="仿宋_GB2312"/>
                <w:color w:val="auto"/>
                <w:szCs w:val="21"/>
              </w:rPr>
              <w:t>【地方性法规】《苏州市房屋使用安全管理条例》</w:t>
            </w:r>
          </w:p>
          <w:p w14:paraId="755F3C3F">
            <w:pPr>
              <w:widowControl/>
              <w:autoSpaceDE w:val="0"/>
              <w:autoSpaceDN w:val="0"/>
              <w:spacing w:line="280" w:lineRule="exact"/>
              <w:jc w:val="left"/>
              <w:rPr>
                <w:rFonts w:ascii="Times New Roman" w:hAnsi="Times New Roman" w:eastAsia="仿宋_GB2312"/>
                <w:color w:val="auto"/>
                <w:szCs w:val="21"/>
              </w:rPr>
            </w:pPr>
            <w:r>
              <w:rPr>
                <w:rFonts w:hint="eastAsia" w:ascii="Times New Roman" w:hAnsi="Times New Roman" w:eastAsia="仿宋_GB2312"/>
                <w:color w:val="auto"/>
                <w:szCs w:val="21"/>
              </w:rPr>
              <w:t xml:space="preserve">    第五条  县级市（区）住房城乡建设部门负责本行政区域内房屋使用安全的监督管理、实施房屋结构改造安全行政许可、制止和查处危害房屋使用安全行为等工作。</w:t>
            </w:r>
          </w:p>
          <w:p w14:paraId="539F97B3">
            <w:pPr>
              <w:widowControl/>
              <w:autoSpaceDE w:val="0"/>
              <w:autoSpaceDN w:val="0"/>
              <w:spacing w:line="280" w:lineRule="exact"/>
              <w:ind w:firstLine="420"/>
              <w:jc w:val="left"/>
              <w:rPr>
                <w:rFonts w:hint="eastAsia" w:ascii="Times New Roman" w:hAnsi="Times New Roman" w:eastAsia="仿宋_GB2312"/>
                <w:color w:val="auto"/>
                <w:szCs w:val="21"/>
              </w:rPr>
            </w:pPr>
            <w:r>
              <w:rPr>
                <w:rFonts w:hint="eastAsia" w:ascii="Times New Roman" w:hAnsi="Times New Roman" w:eastAsia="仿宋_GB2312"/>
                <w:color w:val="auto"/>
                <w:szCs w:val="21"/>
              </w:rPr>
              <w:t>第二十九条第一款第一项、第三项至第七项  有下列情形之一的，应当委托房屋安全鉴定机构进行房屋安全鉴定：</w:t>
            </w:r>
          </w:p>
          <w:p w14:paraId="45631982">
            <w:pPr>
              <w:widowControl/>
              <w:numPr>
                <w:ilvl w:val="0"/>
                <w:numId w:val="2"/>
              </w:numPr>
              <w:autoSpaceDE w:val="0"/>
              <w:autoSpaceDN w:val="0"/>
              <w:spacing w:line="280" w:lineRule="exact"/>
              <w:ind w:firstLine="420"/>
              <w:jc w:val="left"/>
              <w:rPr>
                <w:rFonts w:hint="eastAsia" w:ascii="Times New Roman" w:hAnsi="Times New Roman" w:eastAsia="仿宋_GB2312"/>
                <w:color w:val="auto"/>
                <w:szCs w:val="21"/>
              </w:rPr>
            </w:pPr>
            <w:r>
              <w:rPr>
                <w:rFonts w:hint="eastAsia" w:ascii="Times New Roman" w:hAnsi="Times New Roman" w:eastAsia="仿宋_GB2312"/>
                <w:color w:val="auto"/>
                <w:szCs w:val="21"/>
              </w:rPr>
              <w:t>超过房屋设计使用年限，需要继续使用的；</w:t>
            </w:r>
          </w:p>
          <w:p w14:paraId="10C50165">
            <w:pPr>
              <w:keepNext w:val="0"/>
              <w:keepLines w:val="0"/>
              <w:pageBreakBefore w:val="0"/>
              <w:widowControl/>
              <w:numPr>
                <w:ilvl w:val="0"/>
                <w:numId w:val="0"/>
              </w:numPr>
              <w:kinsoku/>
              <w:wordWrap/>
              <w:overflowPunct/>
              <w:topLinePunct w:val="0"/>
              <w:autoSpaceDE w:val="0"/>
              <w:autoSpaceDN w:val="0"/>
              <w:bidi w:val="0"/>
              <w:adjustRightInd/>
              <w:snapToGrid/>
              <w:spacing w:line="280" w:lineRule="exact"/>
              <w:ind w:firstLine="420" w:firstLineChars="200"/>
              <w:jc w:val="both"/>
              <w:textAlignment w:val="auto"/>
              <w:rPr>
                <w:rFonts w:hint="eastAsia" w:ascii="Times New Roman" w:hAnsi="Times New Roman" w:eastAsia="仿宋_GB2312"/>
                <w:color w:val="auto"/>
                <w:szCs w:val="21"/>
              </w:rPr>
            </w:pPr>
            <w:r>
              <w:rPr>
                <w:rFonts w:hint="eastAsia" w:ascii="Times New Roman" w:hAnsi="Times New Roman" w:eastAsia="仿宋_GB2312"/>
                <w:color w:val="auto"/>
                <w:szCs w:val="21"/>
                <w:lang w:eastAsia="zh-CN"/>
              </w:rPr>
              <w:t>（</w:t>
            </w:r>
            <w:r>
              <w:rPr>
                <w:rFonts w:hint="eastAsia" w:ascii="Times New Roman" w:hAnsi="Times New Roman" w:eastAsia="仿宋_GB2312"/>
                <w:color w:val="auto"/>
                <w:szCs w:val="21"/>
                <w:lang w:val="en-US" w:eastAsia="zh-CN"/>
              </w:rPr>
              <w:t>三</w:t>
            </w:r>
            <w:r>
              <w:rPr>
                <w:rFonts w:hint="eastAsia" w:ascii="Times New Roman" w:hAnsi="Times New Roman" w:eastAsia="仿宋_GB2312"/>
                <w:color w:val="auto"/>
                <w:szCs w:val="21"/>
                <w:lang w:eastAsia="zh-CN"/>
              </w:rPr>
              <w:t>）</w:t>
            </w:r>
            <w:r>
              <w:rPr>
                <w:rFonts w:hint="eastAsia" w:ascii="Times New Roman" w:hAnsi="Times New Roman" w:eastAsia="仿宋_GB2312"/>
                <w:color w:val="auto"/>
                <w:szCs w:val="21"/>
              </w:rPr>
              <w:t>无建设工程质量监督手续已投入使用，未确定其安全性的；</w:t>
            </w:r>
          </w:p>
          <w:p w14:paraId="2362E3E9">
            <w:pPr>
              <w:keepNext w:val="0"/>
              <w:keepLines w:val="0"/>
              <w:pageBreakBefore w:val="0"/>
              <w:widowControl/>
              <w:numPr>
                <w:ilvl w:val="0"/>
                <w:numId w:val="0"/>
              </w:numPr>
              <w:kinsoku/>
              <w:wordWrap/>
              <w:overflowPunct/>
              <w:topLinePunct w:val="0"/>
              <w:autoSpaceDE w:val="0"/>
              <w:autoSpaceDN w:val="0"/>
              <w:bidi w:val="0"/>
              <w:adjustRightInd/>
              <w:snapToGrid/>
              <w:spacing w:line="280" w:lineRule="exact"/>
              <w:ind w:left="0" w:leftChars="0" w:firstLine="420" w:firstLineChars="200"/>
              <w:jc w:val="left"/>
              <w:textAlignment w:val="auto"/>
              <w:rPr>
                <w:rFonts w:hint="eastAsia" w:ascii="Times New Roman" w:hAnsi="Times New Roman" w:eastAsia="仿宋_GB2312"/>
                <w:color w:val="auto"/>
                <w:szCs w:val="21"/>
              </w:rPr>
            </w:pPr>
            <w:r>
              <w:rPr>
                <w:rFonts w:hint="eastAsia" w:ascii="Times New Roman" w:hAnsi="Times New Roman" w:eastAsia="仿宋_GB2312"/>
                <w:color w:val="auto"/>
                <w:szCs w:val="21"/>
              </w:rPr>
              <w:t>（四）在房屋上增设大型广告牌、水箱、水池、铁塔、花园、游泳池等设施设备的；</w:t>
            </w:r>
          </w:p>
          <w:p w14:paraId="55A9E828">
            <w:pPr>
              <w:keepNext w:val="0"/>
              <w:keepLines w:val="0"/>
              <w:pageBreakBefore w:val="0"/>
              <w:widowControl/>
              <w:numPr>
                <w:ilvl w:val="0"/>
                <w:numId w:val="0"/>
              </w:numPr>
              <w:kinsoku/>
              <w:wordWrap/>
              <w:overflowPunct/>
              <w:topLinePunct w:val="0"/>
              <w:autoSpaceDE w:val="0"/>
              <w:autoSpaceDN w:val="0"/>
              <w:bidi w:val="0"/>
              <w:adjustRightInd/>
              <w:snapToGrid/>
              <w:spacing w:line="280" w:lineRule="exact"/>
              <w:ind w:left="0" w:leftChars="0" w:firstLine="420" w:firstLineChars="200"/>
              <w:jc w:val="left"/>
              <w:textAlignment w:val="auto"/>
              <w:rPr>
                <w:rFonts w:hint="eastAsia" w:ascii="Times New Roman" w:hAnsi="Times New Roman" w:eastAsia="仿宋_GB2312"/>
                <w:color w:val="auto"/>
                <w:szCs w:val="21"/>
              </w:rPr>
            </w:pPr>
            <w:r>
              <w:rPr>
                <w:rFonts w:hint="eastAsia" w:ascii="Times New Roman" w:hAnsi="Times New Roman" w:eastAsia="仿宋_GB2312"/>
                <w:color w:val="auto"/>
                <w:szCs w:val="21"/>
              </w:rPr>
              <w:t>（五）因施工、堆物、撞击等行为，导致房屋出现裂缝、变形、不均匀沉降等现象，需要继续使用的；</w:t>
            </w:r>
          </w:p>
          <w:p w14:paraId="3E32269D">
            <w:pPr>
              <w:keepNext w:val="0"/>
              <w:keepLines w:val="0"/>
              <w:pageBreakBefore w:val="0"/>
              <w:widowControl/>
              <w:numPr>
                <w:ilvl w:val="0"/>
                <w:numId w:val="0"/>
              </w:numPr>
              <w:kinsoku/>
              <w:wordWrap/>
              <w:overflowPunct/>
              <w:topLinePunct w:val="0"/>
              <w:autoSpaceDE w:val="0"/>
              <w:autoSpaceDN w:val="0"/>
              <w:bidi w:val="0"/>
              <w:adjustRightInd/>
              <w:snapToGrid/>
              <w:spacing w:line="280" w:lineRule="exact"/>
              <w:ind w:left="0" w:leftChars="0" w:firstLine="420" w:firstLineChars="200"/>
              <w:jc w:val="left"/>
              <w:textAlignment w:val="auto"/>
              <w:rPr>
                <w:rFonts w:ascii="Times New Roman" w:hAnsi="Times New Roman" w:eastAsia="仿宋_GB2312"/>
                <w:color w:val="auto"/>
                <w:szCs w:val="21"/>
              </w:rPr>
            </w:pPr>
            <w:r>
              <w:rPr>
                <w:rFonts w:hint="eastAsia" w:ascii="Times New Roman" w:hAnsi="Times New Roman" w:eastAsia="仿宋_GB2312"/>
                <w:color w:val="auto"/>
                <w:szCs w:val="21"/>
              </w:rPr>
              <w:t>（六）公共场所房屋超过房屋设计使用年限一半或者改变原设计用途影响公共安全，并且五年内未作</w:t>
            </w:r>
          </w:p>
        </w:tc>
        <w:tc>
          <w:tcPr>
            <w:tcW w:w="992" w:type="dxa"/>
            <w:tcBorders>
              <w:top w:val="single" w:color="auto" w:sz="4" w:space="0"/>
              <w:left w:val="single" w:color="auto" w:sz="4" w:space="0"/>
              <w:bottom w:val="single" w:color="auto" w:sz="4" w:space="0"/>
              <w:right w:val="single" w:color="auto" w:sz="4" w:space="0"/>
            </w:tcBorders>
            <w:shd w:val="clear" w:color="auto" w:fill="auto"/>
            <w:vAlign w:val="center"/>
          </w:tcPr>
          <w:p w14:paraId="2A59B9B0">
            <w:pPr>
              <w:widowControl/>
              <w:autoSpaceDE w:val="0"/>
              <w:autoSpaceDN w:val="0"/>
              <w:spacing w:line="280" w:lineRule="exact"/>
              <w:jc w:val="left"/>
              <w:rPr>
                <w:rFonts w:ascii="Times New Roman" w:hAnsi="Times New Roman" w:eastAsia="仿宋_GB2312"/>
                <w:color w:val="auto"/>
                <w:szCs w:val="21"/>
              </w:rPr>
            </w:pPr>
            <w:r>
              <w:rPr>
                <w:rFonts w:hint="eastAsia" w:ascii="Times New Roman" w:hAnsi="Times New Roman" w:eastAsia="仿宋_GB2312"/>
                <w:color w:val="auto"/>
                <w:szCs w:val="21"/>
              </w:rPr>
              <w:t>现场检查，书面检查</w:t>
            </w:r>
          </w:p>
        </w:tc>
        <w:tc>
          <w:tcPr>
            <w:tcW w:w="1139" w:type="dxa"/>
            <w:tcBorders>
              <w:top w:val="single" w:color="auto" w:sz="4" w:space="0"/>
              <w:left w:val="single" w:color="auto" w:sz="4" w:space="0"/>
              <w:bottom w:val="single" w:color="auto" w:sz="4" w:space="0"/>
              <w:right w:val="single" w:color="auto" w:sz="4" w:space="0"/>
            </w:tcBorders>
            <w:shd w:val="clear" w:color="auto" w:fill="auto"/>
            <w:vAlign w:val="center"/>
          </w:tcPr>
          <w:p w14:paraId="61E2A511">
            <w:pPr>
              <w:widowControl/>
              <w:autoSpaceDE w:val="0"/>
              <w:autoSpaceDN w:val="0"/>
              <w:spacing w:line="280" w:lineRule="exact"/>
              <w:jc w:val="center"/>
              <w:rPr>
                <w:rFonts w:hint="default" w:ascii="Times New Roman" w:hAnsi="Times New Roman" w:eastAsia="仿宋_GB2312"/>
                <w:color w:val="auto"/>
                <w:szCs w:val="21"/>
                <w:lang w:val="en-US" w:eastAsia="zh-CN"/>
              </w:rPr>
            </w:pPr>
            <w:r>
              <w:rPr>
                <w:rFonts w:hint="eastAsia" w:ascii="Times New Roman" w:hAnsi="Times New Roman" w:eastAsia="仿宋_GB2312"/>
                <w:color w:val="auto"/>
                <w:szCs w:val="21"/>
                <w:lang w:val="en-US" w:eastAsia="zh-CN"/>
              </w:rPr>
              <w:t>1-12月</w:t>
            </w:r>
          </w:p>
        </w:tc>
        <w:tc>
          <w:tcPr>
            <w:tcW w:w="1491" w:type="dxa"/>
            <w:tcBorders>
              <w:top w:val="single" w:color="auto" w:sz="4" w:space="0"/>
              <w:left w:val="single" w:color="auto" w:sz="4" w:space="0"/>
              <w:bottom w:val="single" w:color="auto" w:sz="4" w:space="0"/>
              <w:right w:val="single" w:color="auto" w:sz="4" w:space="0"/>
            </w:tcBorders>
            <w:shd w:val="clear" w:color="auto" w:fill="auto"/>
            <w:vAlign w:val="center"/>
          </w:tcPr>
          <w:p w14:paraId="218179DF">
            <w:pPr>
              <w:widowControl/>
              <w:autoSpaceDE w:val="0"/>
              <w:autoSpaceDN w:val="0"/>
              <w:spacing w:line="280" w:lineRule="exact"/>
              <w:jc w:val="center"/>
              <w:rPr>
                <w:rFonts w:hint="eastAsia" w:ascii="Times New Roman" w:hAnsi="Times New Roman" w:eastAsia="仿宋_GB2312"/>
                <w:color w:val="auto"/>
                <w:szCs w:val="21"/>
                <w:lang w:val="en-US" w:eastAsia="zh-CN"/>
              </w:rPr>
            </w:pPr>
            <w:r>
              <w:rPr>
                <w:rFonts w:hint="eastAsia" w:ascii="Times New Roman" w:hAnsi="Times New Roman" w:eastAsia="仿宋_GB2312"/>
                <w:color w:val="auto"/>
                <w:sz w:val="20"/>
                <w:szCs w:val="21"/>
                <w:lang w:val="en-US" w:eastAsia="zh-CN"/>
              </w:rPr>
              <w:t>/</w:t>
            </w:r>
          </w:p>
        </w:tc>
        <w:tc>
          <w:tcPr>
            <w:tcW w:w="1481" w:type="dxa"/>
            <w:tcBorders>
              <w:top w:val="single" w:color="auto" w:sz="4" w:space="0"/>
              <w:left w:val="single" w:color="auto" w:sz="4" w:space="0"/>
              <w:bottom w:val="single" w:color="auto" w:sz="4" w:space="0"/>
              <w:right w:val="single" w:color="auto" w:sz="4" w:space="0"/>
            </w:tcBorders>
            <w:shd w:val="clear" w:color="auto" w:fill="auto"/>
            <w:vAlign w:val="center"/>
          </w:tcPr>
          <w:p w14:paraId="48D4165D">
            <w:pPr>
              <w:widowControl/>
              <w:autoSpaceDE w:val="0"/>
              <w:autoSpaceDN w:val="0"/>
              <w:spacing w:line="280" w:lineRule="exact"/>
              <w:jc w:val="center"/>
              <w:rPr>
                <w:rFonts w:hint="eastAsia" w:ascii="Times New Roman" w:hAnsi="Times New Roman" w:eastAsia="仿宋_GB2312"/>
                <w:color w:val="auto"/>
                <w:szCs w:val="21"/>
                <w:lang w:val="en-US" w:eastAsia="zh-CN"/>
              </w:rPr>
            </w:pPr>
            <w:r>
              <w:rPr>
                <w:rFonts w:hint="eastAsia" w:ascii="Times New Roman" w:hAnsi="Times New Roman" w:eastAsia="仿宋_GB2312"/>
                <w:color w:val="auto"/>
                <w:szCs w:val="21"/>
                <w:lang w:val="en-US" w:eastAsia="zh-CN"/>
              </w:rPr>
              <w:t>/</w:t>
            </w:r>
          </w:p>
        </w:tc>
        <w:tc>
          <w:tcPr>
            <w:tcW w:w="622" w:type="dxa"/>
            <w:tcBorders>
              <w:top w:val="single" w:color="auto" w:sz="4" w:space="0"/>
              <w:left w:val="single" w:color="auto" w:sz="4" w:space="0"/>
              <w:bottom w:val="single" w:color="auto" w:sz="4" w:space="0"/>
              <w:right w:val="single" w:color="auto" w:sz="4" w:space="0"/>
            </w:tcBorders>
            <w:shd w:val="clear" w:color="auto" w:fill="auto"/>
            <w:vAlign w:val="center"/>
          </w:tcPr>
          <w:p w14:paraId="4752E2E0">
            <w:pPr>
              <w:spacing w:line="280" w:lineRule="exact"/>
              <w:jc w:val="center"/>
              <w:rPr>
                <w:rFonts w:ascii="Times New Roman" w:hAnsi="Times New Roman" w:eastAsia="仿宋_GB2312"/>
                <w:color w:val="auto"/>
                <w:kern w:val="0"/>
                <w:szCs w:val="21"/>
              </w:rPr>
            </w:pPr>
          </w:p>
        </w:tc>
      </w:tr>
      <w:tr w14:paraId="00C30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3" w:hRule="atLeast"/>
          <w:jc w:val="center"/>
        </w:trPr>
        <w:tc>
          <w:tcPr>
            <w:tcW w:w="536" w:type="dxa"/>
            <w:tcBorders>
              <w:top w:val="single" w:color="auto" w:sz="4" w:space="0"/>
              <w:left w:val="single" w:color="auto" w:sz="4" w:space="0"/>
              <w:bottom w:val="single" w:color="auto" w:sz="4" w:space="0"/>
              <w:right w:val="single" w:color="auto" w:sz="4" w:space="0"/>
            </w:tcBorders>
            <w:shd w:val="clear" w:color="auto" w:fill="auto"/>
            <w:vAlign w:val="center"/>
          </w:tcPr>
          <w:p w14:paraId="2183709D">
            <w:pPr>
              <w:widowControl/>
              <w:autoSpaceDE w:val="0"/>
              <w:autoSpaceDN w:val="0"/>
              <w:spacing w:line="280" w:lineRule="exact"/>
              <w:jc w:val="center"/>
              <w:rPr>
                <w:rFonts w:hint="eastAsia" w:ascii="Times New Roman" w:hAnsi="Times New Roman" w:eastAsia="仿宋_GB2312"/>
                <w:color w:val="auto"/>
                <w:szCs w:val="21"/>
                <w:lang w:eastAsia="zh-CN"/>
              </w:rPr>
            </w:pPr>
            <w:r>
              <w:rPr>
                <w:rFonts w:hint="eastAsia" w:ascii="Times New Roman" w:hAnsi="Times New Roman" w:eastAsia="仿宋_GB2312"/>
                <w:color w:val="auto"/>
                <w:szCs w:val="21"/>
                <w:lang w:val="en-US" w:eastAsia="zh-CN"/>
              </w:rPr>
              <w:t>8</w:t>
            </w:r>
          </w:p>
        </w:tc>
        <w:tc>
          <w:tcPr>
            <w:tcW w:w="1324" w:type="dxa"/>
            <w:tcBorders>
              <w:top w:val="single" w:color="auto" w:sz="4" w:space="0"/>
              <w:left w:val="single" w:color="auto" w:sz="4" w:space="0"/>
              <w:bottom w:val="single" w:color="auto" w:sz="4" w:space="0"/>
              <w:right w:val="single" w:color="auto" w:sz="4" w:space="0"/>
            </w:tcBorders>
            <w:shd w:val="clear" w:color="auto" w:fill="auto"/>
            <w:vAlign w:val="center"/>
          </w:tcPr>
          <w:p w14:paraId="26C5310E">
            <w:pPr>
              <w:widowControl/>
              <w:autoSpaceDE w:val="0"/>
              <w:autoSpaceDN w:val="0"/>
              <w:spacing w:line="280" w:lineRule="exact"/>
              <w:jc w:val="left"/>
              <w:rPr>
                <w:rFonts w:ascii="Times New Roman" w:hAnsi="Times New Roman" w:eastAsia="仿宋_GB2312"/>
                <w:color w:val="auto"/>
                <w:szCs w:val="21"/>
              </w:rPr>
            </w:pPr>
            <w:r>
              <w:rPr>
                <w:rFonts w:hint="eastAsia" w:ascii="Times New Roman" w:hAnsi="Times New Roman" w:eastAsia="仿宋_GB2312"/>
                <w:color w:val="auto"/>
                <w:szCs w:val="21"/>
              </w:rPr>
              <w:t>对房屋安全鉴定工作的检查</w:t>
            </w:r>
          </w:p>
        </w:tc>
        <w:tc>
          <w:tcPr>
            <w:tcW w:w="794" w:type="dxa"/>
            <w:tcBorders>
              <w:top w:val="single" w:color="auto" w:sz="4" w:space="0"/>
              <w:left w:val="single" w:color="auto" w:sz="4" w:space="0"/>
              <w:bottom w:val="single" w:color="auto" w:sz="4" w:space="0"/>
              <w:right w:val="single" w:color="auto" w:sz="4" w:space="0"/>
            </w:tcBorders>
            <w:shd w:val="clear" w:color="auto" w:fill="auto"/>
            <w:vAlign w:val="center"/>
          </w:tcPr>
          <w:p w14:paraId="728229E0">
            <w:pPr>
              <w:widowControl/>
              <w:autoSpaceDE w:val="0"/>
              <w:autoSpaceDN w:val="0"/>
              <w:spacing w:line="280" w:lineRule="exact"/>
              <w:jc w:val="center"/>
              <w:rPr>
                <w:rFonts w:ascii="Times New Roman" w:hAnsi="Times New Roman" w:eastAsia="仿宋_GB2312"/>
                <w:color w:val="auto"/>
                <w:szCs w:val="21"/>
              </w:rPr>
            </w:pPr>
            <w:r>
              <w:rPr>
                <w:rFonts w:hint="eastAsia" w:ascii="Times New Roman" w:hAnsi="Times New Roman" w:eastAsia="仿宋_GB2312"/>
                <w:color w:val="auto"/>
                <w:szCs w:val="21"/>
              </w:rPr>
              <w:t>苏州市相城区住房和城乡建设局</w:t>
            </w:r>
          </w:p>
        </w:tc>
        <w:tc>
          <w:tcPr>
            <w:tcW w:w="872" w:type="dxa"/>
            <w:tcBorders>
              <w:top w:val="single" w:color="auto" w:sz="4" w:space="0"/>
              <w:left w:val="single" w:color="auto" w:sz="4" w:space="0"/>
              <w:bottom w:val="single" w:color="auto" w:sz="4" w:space="0"/>
              <w:right w:val="single" w:color="auto" w:sz="4" w:space="0"/>
            </w:tcBorders>
            <w:shd w:val="clear" w:color="auto" w:fill="auto"/>
            <w:vAlign w:val="center"/>
          </w:tcPr>
          <w:p w14:paraId="03A05114">
            <w:pPr>
              <w:widowControl/>
              <w:autoSpaceDE w:val="0"/>
              <w:autoSpaceDN w:val="0"/>
              <w:spacing w:line="280" w:lineRule="exact"/>
              <w:jc w:val="center"/>
              <w:rPr>
                <w:rFonts w:ascii="Times New Roman" w:hAnsi="Times New Roman" w:eastAsia="仿宋_GB2312"/>
                <w:color w:val="auto"/>
                <w:szCs w:val="21"/>
              </w:rPr>
            </w:pPr>
            <w:r>
              <w:rPr>
                <w:rFonts w:hint="eastAsia" w:ascii="Times New Roman" w:hAnsi="Times New Roman" w:eastAsia="仿宋_GB2312"/>
                <w:color w:val="auto"/>
                <w:szCs w:val="21"/>
              </w:rPr>
              <w:t>相城区住房保障中心</w:t>
            </w:r>
          </w:p>
        </w:tc>
        <w:tc>
          <w:tcPr>
            <w:tcW w:w="869" w:type="dxa"/>
            <w:tcBorders>
              <w:top w:val="single" w:color="auto" w:sz="4" w:space="0"/>
              <w:left w:val="single" w:color="auto" w:sz="4" w:space="0"/>
              <w:bottom w:val="single" w:color="auto" w:sz="4" w:space="0"/>
              <w:right w:val="single" w:color="auto" w:sz="4" w:space="0"/>
            </w:tcBorders>
            <w:shd w:val="clear" w:color="auto" w:fill="auto"/>
            <w:vAlign w:val="center"/>
          </w:tcPr>
          <w:p w14:paraId="50DD848A">
            <w:pPr>
              <w:widowControl/>
              <w:autoSpaceDE w:val="0"/>
              <w:autoSpaceDN w:val="0"/>
              <w:spacing w:line="280" w:lineRule="exact"/>
              <w:jc w:val="left"/>
              <w:rPr>
                <w:rFonts w:ascii="Times New Roman" w:hAnsi="Times New Roman" w:eastAsia="仿宋_GB2312"/>
                <w:color w:val="auto"/>
                <w:szCs w:val="21"/>
              </w:rPr>
            </w:pPr>
            <w:r>
              <w:rPr>
                <w:rFonts w:hint="eastAsia" w:ascii="Times New Roman" w:hAnsi="Times New Roman" w:eastAsia="仿宋_GB2312"/>
                <w:color w:val="auto"/>
                <w:szCs w:val="21"/>
              </w:rPr>
              <w:t>房屋使用安全责任人、建设单位</w:t>
            </w:r>
          </w:p>
        </w:tc>
        <w:tc>
          <w:tcPr>
            <w:tcW w:w="4962" w:type="dxa"/>
            <w:tcBorders>
              <w:top w:val="single" w:color="auto" w:sz="4" w:space="0"/>
              <w:left w:val="single" w:color="auto" w:sz="4" w:space="0"/>
              <w:bottom w:val="single" w:color="auto" w:sz="4" w:space="0"/>
              <w:right w:val="single" w:color="auto" w:sz="4" w:space="0"/>
            </w:tcBorders>
            <w:shd w:val="clear" w:color="auto" w:fill="auto"/>
            <w:vAlign w:val="center"/>
          </w:tcPr>
          <w:p w14:paraId="2112C4C0">
            <w:pPr>
              <w:keepNext w:val="0"/>
              <w:keepLines w:val="0"/>
              <w:pageBreakBefore w:val="0"/>
              <w:widowControl/>
              <w:numPr>
                <w:ilvl w:val="0"/>
                <w:numId w:val="0"/>
              </w:numPr>
              <w:kinsoku/>
              <w:wordWrap/>
              <w:overflowPunct/>
              <w:topLinePunct w:val="0"/>
              <w:autoSpaceDE w:val="0"/>
              <w:autoSpaceDN w:val="0"/>
              <w:bidi w:val="0"/>
              <w:adjustRightInd/>
              <w:snapToGrid/>
              <w:spacing w:line="280" w:lineRule="exact"/>
              <w:jc w:val="left"/>
              <w:textAlignment w:val="auto"/>
              <w:rPr>
                <w:rFonts w:hint="eastAsia" w:ascii="Times New Roman" w:hAnsi="Times New Roman" w:eastAsia="仿宋_GB2312"/>
                <w:color w:val="auto"/>
                <w:szCs w:val="21"/>
              </w:rPr>
            </w:pPr>
            <w:r>
              <w:rPr>
                <w:rFonts w:hint="eastAsia" w:ascii="Times New Roman" w:hAnsi="Times New Roman" w:eastAsia="仿宋_GB2312"/>
                <w:color w:val="auto"/>
                <w:szCs w:val="21"/>
              </w:rPr>
              <w:t>房屋安全鉴定的；</w:t>
            </w:r>
          </w:p>
          <w:p w14:paraId="55398840">
            <w:pPr>
              <w:keepNext w:val="0"/>
              <w:keepLines w:val="0"/>
              <w:pageBreakBefore w:val="0"/>
              <w:widowControl/>
              <w:kinsoku/>
              <w:wordWrap/>
              <w:overflowPunct/>
              <w:topLinePunct w:val="0"/>
              <w:autoSpaceDE w:val="0"/>
              <w:autoSpaceDN w:val="0"/>
              <w:bidi w:val="0"/>
              <w:adjustRightInd/>
              <w:snapToGrid/>
              <w:spacing w:line="280" w:lineRule="exact"/>
              <w:ind w:firstLine="420" w:firstLineChars="200"/>
              <w:jc w:val="left"/>
              <w:textAlignment w:val="auto"/>
              <w:rPr>
                <w:rFonts w:hint="eastAsia" w:ascii="Times New Roman" w:hAnsi="Times New Roman" w:eastAsia="仿宋_GB2312"/>
                <w:color w:val="auto"/>
                <w:szCs w:val="21"/>
                <w:lang w:eastAsia="zh-CN"/>
              </w:rPr>
            </w:pPr>
            <w:r>
              <w:rPr>
                <w:rFonts w:hint="eastAsia" w:ascii="Times New Roman" w:hAnsi="Times New Roman" w:eastAsia="仿宋_GB2312"/>
                <w:color w:val="auto"/>
                <w:szCs w:val="21"/>
              </w:rPr>
              <w:t xml:space="preserve">（七）在农村宅基地上自建的房屋用于出租、改变用途，并且涉及公共安全的。                                </w:t>
            </w:r>
          </w:p>
          <w:p w14:paraId="684B81FE">
            <w:pPr>
              <w:keepNext w:val="0"/>
              <w:keepLines w:val="0"/>
              <w:pageBreakBefore w:val="0"/>
              <w:widowControl/>
              <w:kinsoku/>
              <w:wordWrap/>
              <w:overflowPunct/>
              <w:topLinePunct w:val="0"/>
              <w:autoSpaceDE w:val="0"/>
              <w:autoSpaceDN w:val="0"/>
              <w:bidi w:val="0"/>
              <w:adjustRightInd/>
              <w:snapToGrid/>
              <w:spacing w:line="280" w:lineRule="exact"/>
              <w:ind w:firstLine="420" w:firstLineChars="200"/>
              <w:jc w:val="left"/>
              <w:textAlignment w:val="auto"/>
              <w:rPr>
                <w:rFonts w:hint="eastAsia" w:ascii="Times New Roman" w:hAnsi="Times New Roman" w:eastAsia="仿宋_GB2312"/>
                <w:color w:val="auto"/>
                <w:szCs w:val="21"/>
              </w:rPr>
            </w:pPr>
            <w:r>
              <w:rPr>
                <w:rFonts w:hint="eastAsia" w:ascii="Times New Roman" w:hAnsi="Times New Roman" w:eastAsia="仿宋_GB2312"/>
                <w:color w:val="auto"/>
                <w:szCs w:val="21"/>
              </w:rPr>
              <w:t xml:space="preserve">    第三十条  建筑幕墙或者外墙外保温系统出现下列情形之一时，房屋使用安全责任人应当委托房屋安全鉴定机构进行安全鉴定：</w:t>
            </w:r>
          </w:p>
          <w:p w14:paraId="50AD4354">
            <w:pPr>
              <w:keepNext w:val="0"/>
              <w:keepLines w:val="0"/>
              <w:pageBreakBefore w:val="0"/>
              <w:widowControl/>
              <w:numPr>
                <w:ilvl w:val="0"/>
                <w:numId w:val="3"/>
              </w:numPr>
              <w:kinsoku/>
              <w:wordWrap/>
              <w:overflowPunct/>
              <w:topLinePunct w:val="0"/>
              <w:autoSpaceDE w:val="0"/>
              <w:autoSpaceDN w:val="0"/>
              <w:bidi w:val="0"/>
              <w:adjustRightInd/>
              <w:snapToGrid/>
              <w:spacing w:line="280" w:lineRule="exact"/>
              <w:ind w:firstLine="420" w:firstLineChars="200"/>
              <w:jc w:val="left"/>
              <w:textAlignment w:val="auto"/>
              <w:rPr>
                <w:rFonts w:hint="eastAsia" w:ascii="Times New Roman" w:hAnsi="Times New Roman" w:eastAsia="仿宋_GB2312"/>
                <w:color w:val="auto"/>
                <w:szCs w:val="21"/>
              </w:rPr>
            </w:pPr>
            <w:r>
              <w:rPr>
                <w:rFonts w:hint="eastAsia" w:ascii="Times New Roman" w:hAnsi="Times New Roman" w:eastAsia="仿宋_GB2312"/>
                <w:color w:val="auto"/>
                <w:szCs w:val="21"/>
              </w:rPr>
              <w:t>自竣工验收合格之日起，每使用十年的；</w:t>
            </w:r>
          </w:p>
          <w:p w14:paraId="0142EA12">
            <w:pPr>
              <w:keepNext w:val="0"/>
              <w:keepLines w:val="0"/>
              <w:pageBreakBefore w:val="0"/>
              <w:widowControl/>
              <w:numPr>
                <w:ilvl w:val="0"/>
                <w:numId w:val="3"/>
              </w:numPr>
              <w:kinsoku/>
              <w:wordWrap/>
              <w:overflowPunct/>
              <w:topLinePunct w:val="0"/>
              <w:autoSpaceDE w:val="0"/>
              <w:autoSpaceDN w:val="0"/>
              <w:bidi w:val="0"/>
              <w:adjustRightInd/>
              <w:snapToGrid/>
              <w:spacing w:line="280" w:lineRule="exact"/>
              <w:ind w:left="0" w:leftChars="0" w:firstLine="420" w:firstLineChars="200"/>
              <w:jc w:val="left"/>
              <w:textAlignment w:val="auto"/>
              <w:rPr>
                <w:rFonts w:hint="eastAsia" w:ascii="Times New Roman" w:hAnsi="Times New Roman" w:eastAsia="仿宋_GB2312"/>
                <w:color w:val="auto"/>
                <w:szCs w:val="21"/>
              </w:rPr>
            </w:pPr>
            <w:r>
              <w:rPr>
                <w:rFonts w:hint="eastAsia" w:ascii="Times New Roman" w:hAnsi="Times New Roman" w:eastAsia="仿宋_GB2312"/>
                <w:color w:val="auto"/>
                <w:szCs w:val="21"/>
              </w:rPr>
              <w:t>建筑幕墙面板、连接构件或者局部墙面等出现异常变形、脱落、爆裂等现象的；</w:t>
            </w:r>
          </w:p>
          <w:p w14:paraId="511BE6CB">
            <w:pPr>
              <w:keepNext w:val="0"/>
              <w:keepLines w:val="0"/>
              <w:pageBreakBefore w:val="0"/>
              <w:widowControl/>
              <w:numPr>
                <w:ilvl w:val="0"/>
                <w:numId w:val="3"/>
              </w:numPr>
              <w:kinsoku/>
              <w:wordWrap/>
              <w:overflowPunct/>
              <w:topLinePunct w:val="0"/>
              <w:autoSpaceDE w:val="0"/>
              <w:autoSpaceDN w:val="0"/>
              <w:bidi w:val="0"/>
              <w:adjustRightInd/>
              <w:snapToGrid/>
              <w:spacing w:line="280" w:lineRule="exact"/>
              <w:ind w:left="0" w:leftChars="0" w:firstLine="420" w:firstLineChars="200"/>
              <w:jc w:val="left"/>
              <w:textAlignment w:val="auto"/>
              <w:rPr>
                <w:rFonts w:ascii="Times New Roman" w:hAnsi="Times New Roman" w:eastAsia="仿宋_GB2312"/>
                <w:color w:val="auto"/>
                <w:szCs w:val="21"/>
              </w:rPr>
            </w:pPr>
            <w:r>
              <w:rPr>
                <w:rFonts w:hint="eastAsia" w:ascii="Times New Roman" w:hAnsi="Times New Roman" w:eastAsia="仿宋_GB2312"/>
                <w:color w:val="auto"/>
                <w:szCs w:val="21"/>
              </w:rPr>
              <w:t>外墙外保温系统出现异常外凸、开裂、脱落等现象的；</w:t>
            </w:r>
          </w:p>
          <w:p w14:paraId="79D8D35E">
            <w:pPr>
              <w:keepNext w:val="0"/>
              <w:keepLines w:val="0"/>
              <w:pageBreakBefore w:val="0"/>
              <w:widowControl/>
              <w:numPr>
                <w:ilvl w:val="0"/>
                <w:numId w:val="3"/>
              </w:numPr>
              <w:kinsoku/>
              <w:wordWrap/>
              <w:overflowPunct/>
              <w:topLinePunct w:val="0"/>
              <w:autoSpaceDE w:val="0"/>
              <w:autoSpaceDN w:val="0"/>
              <w:bidi w:val="0"/>
              <w:adjustRightInd/>
              <w:snapToGrid/>
              <w:spacing w:line="280" w:lineRule="exact"/>
              <w:ind w:left="0" w:leftChars="0" w:firstLine="420" w:firstLineChars="200"/>
              <w:jc w:val="left"/>
              <w:textAlignment w:val="auto"/>
              <w:rPr>
                <w:rFonts w:ascii="Times New Roman" w:hAnsi="Times New Roman" w:eastAsia="仿宋_GB2312"/>
                <w:color w:val="auto"/>
                <w:szCs w:val="21"/>
              </w:rPr>
            </w:pPr>
            <w:r>
              <w:rPr>
                <w:rFonts w:hint="eastAsia" w:ascii="Times New Roman" w:hAnsi="Times New Roman" w:eastAsia="仿宋_GB2312"/>
                <w:color w:val="auto"/>
                <w:szCs w:val="21"/>
              </w:rPr>
              <w:t>遭受自然灾害等突发事件造成损坏的；</w:t>
            </w:r>
          </w:p>
          <w:p w14:paraId="0B26C60C">
            <w:pPr>
              <w:keepNext w:val="0"/>
              <w:keepLines w:val="0"/>
              <w:pageBreakBefore w:val="0"/>
              <w:widowControl/>
              <w:numPr>
                <w:ilvl w:val="0"/>
                <w:numId w:val="3"/>
              </w:numPr>
              <w:kinsoku/>
              <w:wordWrap/>
              <w:overflowPunct/>
              <w:topLinePunct w:val="0"/>
              <w:autoSpaceDE w:val="0"/>
              <w:autoSpaceDN w:val="0"/>
              <w:bidi w:val="0"/>
              <w:adjustRightInd/>
              <w:snapToGrid/>
              <w:spacing w:line="280" w:lineRule="exact"/>
              <w:ind w:left="0" w:leftChars="0" w:firstLine="420" w:firstLineChars="200"/>
              <w:jc w:val="left"/>
              <w:textAlignment w:val="auto"/>
              <w:rPr>
                <w:rFonts w:ascii="Times New Roman" w:hAnsi="Times New Roman" w:eastAsia="仿宋_GB2312"/>
                <w:color w:val="auto"/>
                <w:szCs w:val="21"/>
              </w:rPr>
            </w:pPr>
            <w:r>
              <w:rPr>
                <w:rFonts w:hint="eastAsia" w:ascii="Times New Roman" w:hAnsi="Times New Roman" w:eastAsia="仿宋_GB2312"/>
                <w:color w:val="auto"/>
                <w:szCs w:val="21"/>
              </w:rPr>
              <w:t>相关房屋主体结构经鉴定存在安全隐患的；</w:t>
            </w:r>
          </w:p>
          <w:p w14:paraId="279C9C0C">
            <w:pPr>
              <w:keepNext w:val="0"/>
              <w:keepLines w:val="0"/>
              <w:pageBreakBefore w:val="0"/>
              <w:widowControl/>
              <w:numPr>
                <w:ilvl w:val="0"/>
                <w:numId w:val="0"/>
              </w:numPr>
              <w:kinsoku/>
              <w:wordWrap/>
              <w:overflowPunct/>
              <w:topLinePunct w:val="0"/>
              <w:autoSpaceDE w:val="0"/>
              <w:autoSpaceDN w:val="0"/>
              <w:bidi w:val="0"/>
              <w:adjustRightInd/>
              <w:snapToGrid/>
              <w:spacing w:line="280" w:lineRule="exact"/>
              <w:ind w:leftChars="0" w:firstLine="420" w:firstLineChars="200"/>
              <w:jc w:val="left"/>
              <w:textAlignment w:val="auto"/>
              <w:rPr>
                <w:rFonts w:hint="eastAsia" w:ascii="Times New Roman" w:hAnsi="Times New Roman" w:eastAsia="仿宋_GB2312"/>
                <w:color w:val="auto"/>
                <w:szCs w:val="21"/>
              </w:rPr>
            </w:pPr>
            <w:r>
              <w:rPr>
                <w:rFonts w:hint="eastAsia" w:ascii="Times New Roman" w:hAnsi="Times New Roman" w:eastAsia="仿宋_GB2312"/>
                <w:color w:val="auto"/>
                <w:szCs w:val="21"/>
                <w:lang w:eastAsia="zh-CN"/>
              </w:rPr>
              <w:t>（</w:t>
            </w:r>
            <w:r>
              <w:rPr>
                <w:rFonts w:hint="eastAsia" w:ascii="Times New Roman" w:hAnsi="Times New Roman" w:eastAsia="仿宋_GB2312"/>
                <w:color w:val="auto"/>
                <w:szCs w:val="21"/>
                <w:lang w:val="en-US" w:eastAsia="zh-CN"/>
              </w:rPr>
              <w:t>六</w:t>
            </w:r>
            <w:r>
              <w:rPr>
                <w:rFonts w:hint="eastAsia" w:ascii="Times New Roman" w:hAnsi="Times New Roman" w:eastAsia="仿宋_GB2312"/>
                <w:color w:val="auto"/>
                <w:szCs w:val="21"/>
                <w:lang w:eastAsia="zh-CN"/>
              </w:rPr>
              <w:t>）</w:t>
            </w:r>
            <w:r>
              <w:rPr>
                <w:rFonts w:hint="eastAsia" w:ascii="Times New Roman" w:hAnsi="Times New Roman" w:eastAsia="仿宋_GB2312"/>
                <w:color w:val="auto"/>
                <w:szCs w:val="21"/>
              </w:rPr>
              <w:t xml:space="preserve">其他依法应当进行安全鉴定的。                         </w:t>
            </w:r>
          </w:p>
          <w:p w14:paraId="41369E7B">
            <w:pPr>
              <w:keepNext w:val="0"/>
              <w:keepLines w:val="0"/>
              <w:pageBreakBefore w:val="0"/>
              <w:widowControl/>
              <w:numPr>
                <w:ilvl w:val="0"/>
                <w:numId w:val="0"/>
              </w:numPr>
              <w:kinsoku/>
              <w:wordWrap/>
              <w:overflowPunct/>
              <w:topLinePunct w:val="0"/>
              <w:autoSpaceDE w:val="0"/>
              <w:autoSpaceDN w:val="0"/>
              <w:bidi w:val="0"/>
              <w:adjustRightInd/>
              <w:snapToGrid/>
              <w:spacing w:line="280" w:lineRule="exact"/>
              <w:ind w:leftChars="0" w:firstLine="420" w:firstLineChars="200"/>
              <w:jc w:val="left"/>
              <w:textAlignment w:val="auto"/>
              <w:rPr>
                <w:rFonts w:ascii="Times New Roman" w:hAnsi="Times New Roman" w:eastAsia="仿宋_GB2312"/>
                <w:color w:val="auto"/>
                <w:szCs w:val="21"/>
              </w:rPr>
            </w:pPr>
            <w:r>
              <w:rPr>
                <w:rFonts w:hint="eastAsia" w:ascii="Times New Roman" w:hAnsi="Times New Roman" w:eastAsia="仿宋_GB2312"/>
                <w:color w:val="auto"/>
                <w:szCs w:val="21"/>
              </w:rPr>
              <w:t>第三十一条第二款  对受到工程建设影响出现裂缝、变形、不均匀沉降等异常现象的房屋，房屋所有权人、使用人要求房屋安全鉴定的，建设单位应当委托房屋安全鉴定。</w:t>
            </w:r>
          </w:p>
          <w:p w14:paraId="034E01B1">
            <w:pPr>
              <w:widowControl/>
              <w:autoSpaceDE w:val="0"/>
              <w:autoSpaceDN w:val="0"/>
              <w:spacing w:line="280" w:lineRule="exact"/>
              <w:jc w:val="left"/>
              <w:rPr>
                <w:rFonts w:ascii="Times New Roman" w:hAnsi="Times New Roman" w:eastAsia="仿宋_GB2312"/>
                <w:color w:val="auto"/>
                <w:szCs w:val="21"/>
              </w:rPr>
            </w:pPr>
            <w:r>
              <w:rPr>
                <w:rFonts w:hint="eastAsia" w:ascii="Times New Roman" w:hAnsi="Times New Roman" w:eastAsia="仿宋_GB2312"/>
                <w:color w:val="auto"/>
                <w:szCs w:val="21"/>
              </w:rPr>
              <w:t xml:space="preserve">    第四十四条  违反本条例第二十九条第一款第一项、第三项至七项，第三十条，或者第三十一条第二款规定，拒不委托鉴定的，由县级市（区）住房城乡建设部门责令限期改正；逾期不改正的，处以一万元以上十万元以下罚款；造成严重后果的，处以十万元以上三十万元以下罚款。</w:t>
            </w:r>
          </w:p>
        </w:tc>
        <w:tc>
          <w:tcPr>
            <w:tcW w:w="992" w:type="dxa"/>
            <w:tcBorders>
              <w:top w:val="single" w:color="auto" w:sz="4" w:space="0"/>
              <w:left w:val="single" w:color="auto" w:sz="4" w:space="0"/>
              <w:bottom w:val="single" w:color="auto" w:sz="4" w:space="0"/>
              <w:right w:val="single" w:color="auto" w:sz="4" w:space="0"/>
            </w:tcBorders>
            <w:shd w:val="clear" w:color="auto" w:fill="auto"/>
            <w:vAlign w:val="center"/>
          </w:tcPr>
          <w:p w14:paraId="7FB44DEC">
            <w:pPr>
              <w:widowControl/>
              <w:autoSpaceDE w:val="0"/>
              <w:autoSpaceDN w:val="0"/>
              <w:spacing w:line="280" w:lineRule="exact"/>
              <w:jc w:val="left"/>
              <w:rPr>
                <w:rFonts w:ascii="Times New Roman" w:hAnsi="Times New Roman" w:eastAsia="仿宋_GB2312"/>
                <w:color w:val="auto"/>
                <w:szCs w:val="21"/>
              </w:rPr>
            </w:pPr>
            <w:r>
              <w:rPr>
                <w:rFonts w:hint="eastAsia" w:ascii="Times New Roman" w:hAnsi="Times New Roman" w:eastAsia="仿宋_GB2312"/>
                <w:color w:val="auto"/>
                <w:szCs w:val="21"/>
              </w:rPr>
              <w:t>现场检查，书面检查</w:t>
            </w:r>
          </w:p>
        </w:tc>
        <w:tc>
          <w:tcPr>
            <w:tcW w:w="1139" w:type="dxa"/>
            <w:tcBorders>
              <w:top w:val="single" w:color="auto" w:sz="4" w:space="0"/>
              <w:left w:val="single" w:color="auto" w:sz="4" w:space="0"/>
              <w:bottom w:val="single" w:color="auto" w:sz="4" w:space="0"/>
              <w:right w:val="single" w:color="auto" w:sz="4" w:space="0"/>
            </w:tcBorders>
            <w:shd w:val="clear" w:color="auto" w:fill="auto"/>
            <w:vAlign w:val="center"/>
          </w:tcPr>
          <w:p w14:paraId="1CB7CD7C">
            <w:pPr>
              <w:widowControl/>
              <w:autoSpaceDE w:val="0"/>
              <w:autoSpaceDN w:val="0"/>
              <w:spacing w:line="280" w:lineRule="exact"/>
              <w:jc w:val="center"/>
              <w:rPr>
                <w:rFonts w:hint="default" w:ascii="Times New Roman" w:hAnsi="Times New Roman" w:eastAsia="仿宋_GB2312"/>
                <w:color w:val="auto"/>
                <w:szCs w:val="21"/>
                <w:lang w:val="en-US" w:eastAsia="zh-CN"/>
              </w:rPr>
            </w:pPr>
            <w:r>
              <w:rPr>
                <w:rFonts w:hint="eastAsia" w:ascii="Times New Roman" w:hAnsi="Times New Roman" w:eastAsia="仿宋_GB2312"/>
                <w:color w:val="auto"/>
                <w:szCs w:val="21"/>
                <w:lang w:val="en-US" w:eastAsia="zh-CN"/>
              </w:rPr>
              <w:t>1-12月</w:t>
            </w:r>
          </w:p>
        </w:tc>
        <w:tc>
          <w:tcPr>
            <w:tcW w:w="1491" w:type="dxa"/>
            <w:tcBorders>
              <w:top w:val="single" w:color="auto" w:sz="4" w:space="0"/>
              <w:left w:val="single" w:color="auto" w:sz="4" w:space="0"/>
              <w:bottom w:val="single" w:color="auto" w:sz="4" w:space="0"/>
              <w:right w:val="single" w:color="auto" w:sz="4" w:space="0"/>
            </w:tcBorders>
            <w:shd w:val="clear" w:color="auto" w:fill="auto"/>
            <w:vAlign w:val="center"/>
          </w:tcPr>
          <w:p w14:paraId="57D0C9E1">
            <w:pPr>
              <w:widowControl/>
              <w:autoSpaceDE w:val="0"/>
              <w:autoSpaceDN w:val="0"/>
              <w:spacing w:line="280" w:lineRule="exact"/>
              <w:jc w:val="center"/>
              <w:rPr>
                <w:rFonts w:hint="eastAsia" w:ascii="Times New Roman" w:hAnsi="Times New Roman" w:eastAsia="仿宋_GB2312"/>
                <w:color w:val="auto"/>
                <w:szCs w:val="21"/>
                <w:lang w:val="en-US" w:eastAsia="zh-CN"/>
              </w:rPr>
            </w:pPr>
            <w:r>
              <w:rPr>
                <w:rFonts w:hint="eastAsia" w:ascii="Times New Roman" w:hAnsi="Times New Roman" w:eastAsia="仿宋_GB2312"/>
                <w:color w:val="auto"/>
                <w:szCs w:val="21"/>
                <w:lang w:val="en-US" w:eastAsia="zh-CN"/>
              </w:rPr>
              <w:t>/</w:t>
            </w:r>
          </w:p>
        </w:tc>
        <w:tc>
          <w:tcPr>
            <w:tcW w:w="1481" w:type="dxa"/>
            <w:tcBorders>
              <w:top w:val="single" w:color="auto" w:sz="4" w:space="0"/>
              <w:left w:val="single" w:color="auto" w:sz="4" w:space="0"/>
              <w:bottom w:val="single" w:color="auto" w:sz="4" w:space="0"/>
              <w:right w:val="single" w:color="auto" w:sz="4" w:space="0"/>
            </w:tcBorders>
            <w:shd w:val="clear" w:color="auto" w:fill="auto"/>
            <w:vAlign w:val="center"/>
          </w:tcPr>
          <w:p w14:paraId="0D24B1E9">
            <w:pPr>
              <w:widowControl/>
              <w:autoSpaceDE w:val="0"/>
              <w:autoSpaceDN w:val="0"/>
              <w:spacing w:line="280" w:lineRule="exact"/>
              <w:jc w:val="center"/>
              <w:rPr>
                <w:rFonts w:hint="default" w:ascii="Times New Roman" w:hAnsi="Times New Roman" w:eastAsia="仿宋_GB2312"/>
                <w:color w:val="auto"/>
                <w:szCs w:val="21"/>
                <w:lang w:val="en-US" w:eastAsia="zh-CN"/>
              </w:rPr>
            </w:pPr>
            <w:r>
              <w:rPr>
                <w:rFonts w:hint="eastAsia" w:ascii="Times New Roman" w:hAnsi="Times New Roman" w:eastAsia="仿宋_GB2312"/>
                <w:color w:val="auto"/>
                <w:szCs w:val="21"/>
                <w:lang w:val="en-US" w:eastAsia="zh-CN"/>
              </w:rPr>
              <w:t>/</w:t>
            </w:r>
          </w:p>
        </w:tc>
        <w:tc>
          <w:tcPr>
            <w:tcW w:w="622" w:type="dxa"/>
            <w:tcBorders>
              <w:top w:val="single" w:color="auto" w:sz="4" w:space="0"/>
              <w:left w:val="single" w:color="auto" w:sz="4" w:space="0"/>
              <w:bottom w:val="single" w:color="auto" w:sz="4" w:space="0"/>
              <w:right w:val="single" w:color="auto" w:sz="4" w:space="0"/>
            </w:tcBorders>
            <w:shd w:val="clear" w:color="auto" w:fill="auto"/>
            <w:vAlign w:val="center"/>
          </w:tcPr>
          <w:p w14:paraId="28423B66">
            <w:pPr>
              <w:spacing w:line="280" w:lineRule="exact"/>
              <w:jc w:val="center"/>
              <w:rPr>
                <w:rFonts w:ascii="Times New Roman" w:hAnsi="Times New Roman" w:eastAsia="仿宋_GB2312"/>
                <w:color w:val="auto"/>
                <w:kern w:val="0"/>
                <w:szCs w:val="21"/>
              </w:rPr>
            </w:pPr>
          </w:p>
        </w:tc>
      </w:tr>
      <w:tr w14:paraId="34D00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93" w:hRule="atLeast"/>
          <w:jc w:val="center"/>
        </w:trPr>
        <w:tc>
          <w:tcPr>
            <w:tcW w:w="536" w:type="dxa"/>
            <w:vMerge w:val="restart"/>
            <w:vAlign w:val="center"/>
          </w:tcPr>
          <w:p w14:paraId="1ECDC8E6">
            <w:pPr>
              <w:widowControl/>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lang w:val="en-US" w:eastAsia="zh-CN"/>
              </w:rPr>
              <w:t>9</w:t>
            </w:r>
          </w:p>
        </w:tc>
        <w:tc>
          <w:tcPr>
            <w:tcW w:w="1324" w:type="dxa"/>
            <w:vMerge w:val="restart"/>
            <w:vAlign w:val="center"/>
          </w:tcPr>
          <w:p w14:paraId="3AAB13BB">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对工程勘察设计质量行为的行政检查</w:t>
            </w:r>
          </w:p>
        </w:tc>
        <w:tc>
          <w:tcPr>
            <w:tcW w:w="794" w:type="dxa"/>
            <w:vMerge w:val="restart"/>
            <w:vAlign w:val="center"/>
          </w:tcPr>
          <w:p w14:paraId="6E3B882D">
            <w:pPr>
              <w:widowControl/>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苏州市相城区住房和城乡建设局</w:t>
            </w:r>
          </w:p>
        </w:tc>
        <w:tc>
          <w:tcPr>
            <w:tcW w:w="872" w:type="dxa"/>
            <w:vMerge w:val="restart"/>
            <w:vAlign w:val="center"/>
          </w:tcPr>
          <w:p w14:paraId="5DCD1134">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相城区建设工程质量安全监督中心</w:t>
            </w:r>
          </w:p>
        </w:tc>
        <w:tc>
          <w:tcPr>
            <w:tcW w:w="869" w:type="dxa"/>
            <w:vMerge w:val="restart"/>
            <w:vAlign w:val="center"/>
          </w:tcPr>
          <w:p w14:paraId="7FCCF4EA">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勘察设计行业</w:t>
            </w:r>
          </w:p>
        </w:tc>
        <w:tc>
          <w:tcPr>
            <w:tcW w:w="4962" w:type="dxa"/>
            <w:vAlign w:val="center"/>
          </w:tcPr>
          <w:p w14:paraId="3FEDBE72">
            <w:pPr>
              <w:widowControl/>
              <w:autoSpaceDE w:val="0"/>
              <w:autoSpaceDN w:val="0"/>
              <w:spacing w:line="26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【规章】《江苏省房屋建筑和市政基础设施工程质量监督管理办法》</w:t>
            </w:r>
          </w:p>
          <w:p w14:paraId="21D3C216">
            <w:pPr>
              <w:widowControl/>
              <w:autoSpaceDE w:val="0"/>
              <w:autoSpaceDN w:val="0"/>
              <w:spacing w:line="26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第十八条  勘察、设计单位应当履行下列工程质量义务：</w:t>
            </w:r>
          </w:p>
          <w:p w14:paraId="31095026">
            <w:pPr>
              <w:widowControl/>
              <w:autoSpaceDE w:val="0"/>
              <w:autoSpaceDN w:val="0"/>
              <w:spacing w:line="26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（三）按照规定参加工程相关验收并出具工程质量验收意见。</w:t>
            </w:r>
          </w:p>
          <w:p w14:paraId="4D89D762">
            <w:pPr>
              <w:widowControl/>
              <w:autoSpaceDE w:val="0"/>
              <w:autoSpaceDN w:val="0"/>
              <w:spacing w:line="26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第二十四条  违反本办法第十八条第（三）项规定，勘察、设计单位未按照规定参加工程相关验收并出具工程质量验收意见的，由住房和城乡建设行政主管部门责令改正，并可处1万元以上3万元以下罚款。</w:t>
            </w:r>
          </w:p>
        </w:tc>
        <w:tc>
          <w:tcPr>
            <w:tcW w:w="992" w:type="dxa"/>
            <w:vAlign w:val="center"/>
          </w:tcPr>
          <w:p w14:paraId="5BB10289">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现场检查、书面检查</w:t>
            </w:r>
          </w:p>
        </w:tc>
        <w:tc>
          <w:tcPr>
            <w:tcW w:w="1139" w:type="dxa"/>
            <w:vAlign w:val="center"/>
          </w:tcPr>
          <w:p w14:paraId="0FF6DD8B">
            <w:pPr>
              <w:widowControl/>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双随机</w:t>
            </w:r>
          </w:p>
        </w:tc>
        <w:tc>
          <w:tcPr>
            <w:tcW w:w="1491" w:type="dxa"/>
            <w:vAlign w:val="center"/>
          </w:tcPr>
          <w:p w14:paraId="4D3F0D10">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320217454000</w:t>
            </w:r>
          </w:p>
        </w:tc>
        <w:tc>
          <w:tcPr>
            <w:tcW w:w="1481" w:type="dxa"/>
            <w:vAlign w:val="center"/>
          </w:tcPr>
          <w:p w14:paraId="47E3113F">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对勘察、设计单位未按照规定参加工程相关验收并出具工程质量验收意见的处罚</w:t>
            </w:r>
          </w:p>
        </w:tc>
        <w:tc>
          <w:tcPr>
            <w:tcW w:w="622" w:type="dxa"/>
            <w:vAlign w:val="center"/>
          </w:tcPr>
          <w:p w14:paraId="105924DC">
            <w:pPr>
              <w:spacing w:line="280" w:lineRule="exact"/>
              <w:rPr>
                <w:rFonts w:ascii="Times New Roman" w:hAnsi="Times New Roman" w:eastAsia="仿宋_GB2312" w:cs="方正仿宋_GBK"/>
                <w:color w:val="auto"/>
                <w:kern w:val="0"/>
                <w:szCs w:val="21"/>
              </w:rPr>
            </w:pPr>
          </w:p>
        </w:tc>
      </w:tr>
      <w:tr w14:paraId="52181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0" w:hRule="atLeast"/>
          <w:jc w:val="center"/>
        </w:trPr>
        <w:tc>
          <w:tcPr>
            <w:tcW w:w="536" w:type="dxa"/>
            <w:vMerge w:val="continue"/>
            <w:vAlign w:val="center"/>
          </w:tcPr>
          <w:p w14:paraId="666C89CA">
            <w:pPr>
              <w:widowControl/>
              <w:autoSpaceDE w:val="0"/>
              <w:autoSpaceDN w:val="0"/>
              <w:spacing w:line="280" w:lineRule="exact"/>
              <w:jc w:val="center"/>
              <w:rPr>
                <w:rFonts w:ascii="Times New Roman" w:hAnsi="Times New Roman" w:eastAsia="仿宋_GB2312" w:cs="方正仿宋_GBK"/>
                <w:color w:val="auto"/>
                <w:szCs w:val="21"/>
              </w:rPr>
            </w:pPr>
          </w:p>
        </w:tc>
        <w:tc>
          <w:tcPr>
            <w:tcW w:w="1324" w:type="dxa"/>
            <w:vMerge w:val="continue"/>
            <w:vAlign w:val="center"/>
          </w:tcPr>
          <w:p w14:paraId="246C5D36">
            <w:pPr>
              <w:widowControl/>
              <w:autoSpaceDE w:val="0"/>
              <w:autoSpaceDN w:val="0"/>
              <w:spacing w:line="280" w:lineRule="exact"/>
              <w:jc w:val="left"/>
              <w:rPr>
                <w:rFonts w:ascii="Times New Roman" w:hAnsi="Times New Roman" w:eastAsia="仿宋_GB2312" w:cs="方正仿宋_GBK"/>
                <w:color w:val="auto"/>
                <w:szCs w:val="21"/>
              </w:rPr>
            </w:pPr>
          </w:p>
        </w:tc>
        <w:tc>
          <w:tcPr>
            <w:tcW w:w="794" w:type="dxa"/>
            <w:vMerge w:val="continue"/>
            <w:vAlign w:val="center"/>
          </w:tcPr>
          <w:p w14:paraId="73EFAE58">
            <w:pPr>
              <w:widowControl/>
              <w:autoSpaceDE w:val="0"/>
              <w:autoSpaceDN w:val="0"/>
              <w:spacing w:line="280" w:lineRule="exact"/>
              <w:jc w:val="left"/>
              <w:rPr>
                <w:rFonts w:ascii="Times New Roman" w:hAnsi="Times New Roman" w:eastAsia="仿宋_GB2312" w:cs="方正仿宋_GBK"/>
                <w:color w:val="auto"/>
                <w:szCs w:val="21"/>
              </w:rPr>
            </w:pPr>
          </w:p>
        </w:tc>
        <w:tc>
          <w:tcPr>
            <w:tcW w:w="872" w:type="dxa"/>
            <w:vMerge w:val="continue"/>
            <w:vAlign w:val="center"/>
          </w:tcPr>
          <w:p w14:paraId="44860231">
            <w:pPr>
              <w:widowControl/>
              <w:autoSpaceDE w:val="0"/>
              <w:autoSpaceDN w:val="0"/>
              <w:spacing w:line="280" w:lineRule="exact"/>
              <w:jc w:val="left"/>
              <w:rPr>
                <w:rFonts w:ascii="Times New Roman" w:hAnsi="Times New Roman" w:eastAsia="仿宋_GB2312" w:cs="方正仿宋_GBK"/>
                <w:color w:val="auto"/>
                <w:szCs w:val="21"/>
              </w:rPr>
            </w:pPr>
          </w:p>
        </w:tc>
        <w:tc>
          <w:tcPr>
            <w:tcW w:w="869" w:type="dxa"/>
            <w:vMerge w:val="continue"/>
            <w:vAlign w:val="center"/>
          </w:tcPr>
          <w:p w14:paraId="620685E9">
            <w:pPr>
              <w:widowControl/>
              <w:autoSpaceDE w:val="0"/>
              <w:autoSpaceDN w:val="0"/>
              <w:spacing w:line="280" w:lineRule="exact"/>
              <w:jc w:val="left"/>
              <w:rPr>
                <w:rFonts w:ascii="Times New Roman" w:hAnsi="Times New Roman" w:eastAsia="仿宋_GB2312" w:cs="方正仿宋_GBK"/>
                <w:color w:val="auto"/>
                <w:szCs w:val="21"/>
              </w:rPr>
            </w:pPr>
          </w:p>
        </w:tc>
        <w:tc>
          <w:tcPr>
            <w:tcW w:w="4962" w:type="dxa"/>
            <w:vAlign w:val="center"/>
          </w:tcPr>
          <w:p w14:paraId="0B02D1AF">
            <w:pPr>
              <w:widowControl/>
              <w:autoSpaceDE w:val="0"/>
              <w:autoSpaceDN w:val="0"/>
              <w:spacing w:line="26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【规章】《危险性较大的分部分项工程安全管理规定》</w:t>
            </w:r>
          </w:p>
          <w:p w14:paraId="5ACF8C49">
            <w:pPr>
              <w:widowControl/>
              <w:autoSpaceDE w:val="0"/>
              <w:autoSpaceDN w:val="0"/>
              <w:spacing w:line="260" w:lineRule="exact"/>
              <w:ind w:firstLine="435"/>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第六条第一款　勘察单位应当根据工程实际及工程周边环境资料，在勘察文件中说明地质条件可能造成的工程风险。</w:t>
            </w:r>
          </w:p>
          <w:p w14:paraId="6924F98B">
            <w:pPr>
              <w:widowControl/>
              <w:autoSpaceDE w:val="0"/>
              <w:autoSpaceDN w:val="0"/>
              <w:spacing w:line="260" w:lineRule="exact"/>
              <w:ind w:firstLine="435"/>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第三十条　勘察单位未在勘察文件中说明地质条件可能造成的工程风险的，责令限期改正，依照《建设工程安全生产管理条例》对单位进行处罚；对直接负责的主管人员和其他直接责任人员处1000元以上5000元以下的罚款。</w:t>
            </w:r>
          </w:p>
        </w:tc>
        <w:tc>
          <w:tcPr>
            <w:tcW w:w="992" w:type="dxa"/>
            <w:vAlign w:val="center"/>
          </w:tcPr>
          <w:p w14:paraId="37B807D3">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现场检查、书面检查</w:t>
            </w:r>
          </w:p>
        </w:tc>
        <w:tc>
          <w:tcPr>
            <w:tcW w:w="1139" w:type="dxa"/>
            <w:vAlign w:val="center"/>
          </w:tcPr>
          <w:p w14:paraId="5E4C8B9D">
            <w:pPr>
              <w:widowControl/>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双随机</w:t>
            </w:r>
          </w:p>
        </w:tc>
        <w:tc>
          <w:tcPr>
            <w:tcW w:w="1491" w:type="dxa"/>
            <w:vAlign w:val="center"/>
          </w:tcPr>
          <w:p w14:paraId="5D1484D5">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320217761000</w:t>
            </w:r>
          </w:p>
        </w:tc>
        <w:tc>
          <w:tcPr>
            <w:tcW w:w="1481" w:type="dxa"/>
            <w:vAlign w:val="center"/>
          </w:tcPr>
          <w:p w14:paraId="6AAC88B0">
            <w:pPr>
              <w:widowControl/>
              <w:autoSpaceDE w:val="0"/>
              <w:autoSpaceDN w:val="0"/>
              <w:spacing w:line="26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勘察单位未在勘察文件中说明地质条件可能造成的工程风险的，对直接负责的主管人员和其他直接责任人员的处罚</w:t>
            </w:r>
          </w:p>
        </w:tc>
        <w:tc>
          <w:tcPr>
            <w:tcW w:w="622" w:type="dxa"/>
            <w:vAlign w:val="center"/>
          </w:tcPr>
          <w:p w14:paraId="34CC938F">
            <w:pPr>
              <w:spacing w:line="280" w:lineRule="exact"/>
              <w:rPr>
                <w:rFonts w:ascii="Times New Roman" w:hAnsi="Times New Roman" w:eastAsia="仿宋_GB2312" w:cs="方正仿宋_GBK"/>
                <w:color w:val="auto"/>
                <w:kern w:val="0"/>
                <w:szCs w:val="21"/>
              </w:rPr>
            </w:pPr>
          </w:p>
        </w:tc>
      </w:tr>
      <w:tr w14:paraId="651CC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4" w:hRule="atLeast"/>
          <w:jc w:val="center"/>
        </w:trPr>
        <w:tc>
          <w:tcPr>
            <w:tcW w:w="536" w:type="dxa"/>
            <w:vMerge w:val="continue"/>
            <w:vAlign w:val="center"/>
          </w:tcPr>
          <w:p w14:paraId="073FDC60">
            <w:pPr>
              <w:widowControl/>
              <w:autoSpaceDE w:val="0"/>
              <w:autoSpaceDN w:val="0"/>
              <w:spacing w:line="280" w:lineRule="exact"/>
              <w:jc w:val="center"/>
              <w:rPr>
                <w:rFonts w:hint="default" w:ascii="Times New Roman" w:hAnsi="Times New Roman" w:eastAsia="仿宋_GB2312" w:cs="方正仿宋_GBK"/>
                <w:color w:val="auto"/>
                <w:szCs w:val="21"/>
                <w:lang w:val="en-US" w:eastAsia="zh-CN"/>
              </w:rPr>
            </w:pPr>
          </w:p>
        </w:tc>
        <w:tc>
          <w:tcPr>
            <w:tcW w:w="1324" w:type="dxa"/>
            <w:vMerge w:val="continue"/>
            <w:vAlign w:val="center"/>
          </w:tcPr>
          <w:p w14:paraId="59CA3D00">
            <w:pPr>
              <w:widowControl/>
              <w:autoSpaceDE w:val="0"/>
              <w:autoSpaceDN w:val="0"/>
              <w:spacing w:line="280" w:lineRule="exact"/>
              <w:jc w:val="left"/>
              <w:rPr>
                <w:rFonts w:ascii="Times New Roman" w:hAnsi="Times New Roman" w:eastAsia="仿宋_GB2312" w:cs="方正仿宋_GBK"/>
                <w:color w:val="auto"/>
                <w:szCs w:val="21"/>
              </w:rPr>
            </w:pPr>
          </w:p>
        </w:tc>
        <w:tc>
          <w:tcPr>
            <w:tcW w:w="794" w:type="dxa"/>
            <w:vMerge w:val="continue"/>
            <w:vAlign w:val="center"/>
          </w:tcPr>
          <w:p w14:paraId="354C4226">
            <w:pPr>
              <w:widowControl/>
              <w:autoSpaceDE w:val="0"/>
              <w:autoSpaceDN w:val="0"/>
              <w:spacing w:line="280" w:lineRule="exact"/>
              <w:jc w:val="center"/>
              <w:rPr>
                <w:rFonts w:ascii="Times New Roman" w:hAnsi="Times New Roman" w:eastAsia="仿宋_GB2312" w:cs="方正仿宋_GBK"/>
                <w:color w:val="auto"/>
                <w:szCs w:val="21"/>
              </w:rPr>
            </w:pPr>
          </w:p>
        </w:tc>
        <w:tc>
          <w:tcPr>
            <w:tcW w:w="872" w:type="dxa"/>
            <w:vMerge w:val="continue"/>
            <w:vAlign w:val="center"/>
          </w:tcPr>
          <w:p w14:paraId="39F1DE51">
            <w:pPr>
              <w:widowControl/>
              <w:autoSpaceDE w:val="0"/>
              <w:autoSpaceDN w:val="0"/>
              <w:spacing w:line="280" w:lineRule="exact"/>
              <w:jc w:val="left"/>
              <w:rPr>
                <w:rFonts w:ascii="Times New Roman" w:hAnsi="Times New Roman" w:eastAsia="仿宋_GB2312" w:cs="方正仿宋_GBK"/>
                <w:color w:val="auto"/>
                <w:szCs w:val="21"/>
              </w:rPr>
            </w:pPr>
          </w:p>
        </w:tc>
        <w:tc>
          <w:tcPr>
            <w:tcW w:w="869" w:type="dxa"/>
            <w:vMerge w:val="continue"/>
            <w:vAlign w:val="center"/>
          </w:tcPr>
          <w:p w14:paraId="25761913">
            <w:pPr>
              <w:widowControl/>
              <w:autoSpaceDE w:val="0"/>
              <w:autoSpaceDN w:val="0"/>
              <w:spacing w:line="280" w:lineRule="exact"/>
              <w:jc w:val="left"/>
              <w:rPr>
                <w:rFonts w:ascii="Times New Roman" w:hAnsi="Times New Roman" w:eastAsia="仿宋_GB2312" w:cs="方正仿宋_GBK"/>
                <w:color w:val="auto"/>
                <w:szCs w:val="21"/>
              </w:rPr>
            </w:pPr>
          </w:p>
        </w:tc>
        <w:tc>
          <w:tcPr>
            <w:tcW w:w="4962" w:type="dxa"/>
            <w:vAlign w:val="center"/>
          </w:tcPr>
          <w:p w14:paraId="6D32B474">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【规章】《危险性较大的分部分项工程安全管理规定》</w:t>
            </w:r>
          </w:p>
          <w:p w14:paraId="22215853">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第六条第二款　设计单位应当在设计文件中注明涉及危大工程的重点部位和环节，提出保障工程周边环境安全和工程施工安全的意见，必要时进行专项设计。</w:t>
            </w:r>
          </w:p>
          <w:p w14:paraId="5BA408E8">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第三十一条　设计单位未在设计文件中注明涉及危大工程的重点部位和环节，未提出保障工程周边环境安全和工程施工安全的意见的，责令限期改正，并处1万元以上3万元以下的罚款；对直接负责的主管人员和其他直接责任人员处1000元以上5000元以下的罚款。</w:t>
            </w:r>
          </w:p>
        </w:tc>
        <w:tc>
          <w:tcPr>
            <w:tcW w:w="992" w:type="dxa"/>
            <w:vAlign w:val="center"/>
          </w:tcPr>
          <w:p w14:paraId="680E5739">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现场检查、书面检查</w:t>
            </w:r>
          </w:p>
        </w:tc>
        <w:tc>
          <w:tcPr>
            <w:tcW w:w="1139" w:type="dxa"/>
            <w:vAlign w:val="center"/>
          </w:tcPr>
          <w:p w14:paraId="2D5C131A">
            <w:pPr>
              <w:widowControl/>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双随机</w:t>
            </w:r>
          </w:p>
        </w:tc>
        <w:tc>
          <w:tcPr>
            <w:tcW w:w="1491" w:type="dxa"/>
            <w:vAlign w:val="center"/>
          </w:tcPr>
          <w:p w14:paraId="5DADF6C0">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320217707000</w:t>
            </w:r>
          </w:p>
        </w:tc>
        <w:tc>
          <w:tcPr>
            <w:tcW w:w="1481" w:type="dxa"/>
            <w:vAlign w:val="center"/>
          </w:tcPr>
          <w:p w14:paraId="1268FCA9">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对设计单位未在设计文件中注明涉及危大工程的重点部位和环节，未提出保障工程周边环境安全和工程施工安全的意见的处罚</w:t>
            </w:r>
          </w:p>
        </w:tc>
        <w:tc>
          <w:tcPr>
            <w:tcW w:w="622" w:type="dxa"/>
            <w:vAlign w:val="center"/>
          </w:tcPr>
          <w:p w14:paraId="3DD51430">
            <w:pPr>
              <w:spacing w:line="280" w:lineRule="exact"/>
              <w:rPr>
                <w:rFonts w:ascii="Times New Roman" w:hAnsi="Times New Roman" w:eastAsia="仿宋_GB2312" w:cs="方正仿宋_GBK"/>
                <w:color w:val="auto"/>
                <w:kern w:val="0"/>
                <w:szCs w:val="21"/>
              </w:rPr>
            </w:pPr>
          </w:p>
        </w:tc>
      </w:tr>
      <w:tr w14:paraId="3F447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0" w:hRule="atLeast"/>
          <w:jc w:val="center"/>
        </w:trPr>
        <w:tc>
          <w:tcPr>
            <w:tcW w:w="536" w:type="dxa"/>
            <w:vMerge w:val="restart"/>
            <w:vAlign w:val="center"/>
          </w:tcPr>
          <w:p w14:paraId="484D826D">
            <w:pPr>
              <w:widowControl/>
              <w:autoSpaceDE w:val="0"/>
              <w:autoSpaceDN w:val="0"/>
              <w:spacing w:line="280" w:lineRule="exact"/>
              <w:jc w:val="center"/>
              <w:rPr>
                <w:rFonts w:hint="eastAsia" w:ascii="Times New Roman" w:hAnsi="Times New Roman" w:eastAsia="仿宋_GB2312" w:cs="方正仿宋_GBK"/>
                <w:color w:val="auto"/>
                <w:szCs w:val="21"/>
                <w:lang w:eastAsia="zh-CN"/>
              </w:rPr>
            </w:pPr>
            <w:r>
              <w:rPr>
                <w:rFonts w:hint="eastAsia" w:ascii="Times New Roman" w:hAnsi="Times New Roman" w:eastAsia="仿宋_GB2312" w:cs="方正仿宋_GBK"/>
                <w:color w:val="auto"/>
                <w:szCs w:val="21"/>
                <w:lang w:val="en-US" w:eastAsia="zh-CN"/>
              </w:rPr>
              <w:t>9</w:t>
            </w:r>
          </w:p>
        </w:tc>
        <w:tc>
          <w:tcPr>
            <w:tcW w:w="1324" w:type="dxa"/>
            <w:vMerge w:val="restart"/>
            <w:vAlign w:val="center"/>
          </w:tcPr>
          <w:p w14:paraId="0103FB8F">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对工程勘察设计质量行为的行政检查</w:t>
            </w:r>
          </w:p>
        </w:tc>
        <w:tc>
          <w:tcPr>
            <w:tcW w:w="794" w:type="dxa"/>
            <w:vMerge w:val="restart"/>
            <w:vAlign w:val="center"/>
          </w:tcPr>
          <w:p w14:paraId="7559A66E">
            <w:pPr>
              <w:widowControl/>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苏州市相城区住房和城乡建设局</w:t>
            </w:r>
          </w:p>
        </w:tc>
        <w:tc>
          <w:tcPr>
            <w:tcW w:w="872" w:type="dxa"/>
            <w:vMerge w:val="restart"/>
            <w:vAlign w:val="center"/>
          </w:tcPr>
          <w:p w14:paraId="6E4EF0DE">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相城区建设工程质量安全监督中心</w:t>
            </w:r>
          </w:p>
        </w:tc>
        <w:tc>
          <w:tcPr>
            <w:tcW w:w="869" w:type="dxa"/>
            <w:vMerge w:val="restart"/>
            <w:vAlign w:val="center"/>
          </w:tcPr>
          <w:p w14:paraId="22C08448">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勘察设计行业</w:t>
            </w:r>
          </w:p>
        </w:tc>
        <w:tc>
          <w:tcPr>
            <w:tcW w:w="4962" w:type="dxa"/>
            <w:vAlign w:val="center"/>
          </w:tcPr>
          <w:p w14:paraId="379568C6">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【行政法规】《建设工程安全生产管理条例》</w:t>
            </w:r>
          </w:p>
          <w:p w14:paraId="16BE8918">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第十三条第三款　采用新结构、新材料、新工艺的建设工程和特殊结构的建设工程，设计单位应当在设计中提出保障施工作业人员安全和预防生产安全事故的措施建议。</w:t>
            </w:r>
          </w:p>
          <w:p w14:paraId="558B47A4">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第五十六条　违反本条例的规定，勘察单位、设计单位有下列行为之一的，责令限期改正，处10万元以上30万元以下的罚款；情节严重的，责令停业整顿，降低资质等级，直至吊销资质证书；造成重大安全事故，构成犯罪的，对直接责任人员，依照刑法有关规定追究刑事责任；造成损失的，依法承担赔偿责任：</w:t>
            </w:r>
          </w:p>
          <w:p w14:paraId="2C13DD51">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（二）采用新结构、新材料、新工艺的建设工程和特殊结构的建设工程，设计单位未在设计中提出保障施工作业人员安全和预防生产安全事故的措施建议的。</w:t>
            </w:r>
          </w:p>
          <w:p w14:paraId="12E8112C">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第六十八条　本条例规定的行政处罚，由建设行政主管部门或者其他有关部门依照法定职权决定。违反消防安全管理规定的行为，由公安消防机构依法处罚。有关法律、行政法规对建设工程安全生产违法行为的行政处罚决定机关另有规定的，从其规定。</w:t>
            </w:r>
          </w:p>
        </w:tc>
        <w:tc>
          <w:tcPr>
            <w:tcW w:w="992" w:type="dxa"/>
            <w:vAlign w:val="center"/>
          </w:tcPr>
          <w:p w14:paraId="3CAF6343">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现场检查、书面检查</w:t>
            </w:r>
          </w:p>
        </w:tc>
        <w:tc>
          <w:tcPr>
            <w:tcW w:w="1139" w:type="dxa"/>
            <w:vAlign w:val="center"/>
          </w:tcPr>
          <w:p w14:paraId="2642893E">
            <w:pPr>
              <w:widowControl/>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双随机</w:t>
            </w:r>
          </w:p>
        </w:tc>
        <w:tc>
          <w:tcPr>
            <w:tcW w:w="1491" w:type="dxa"/>
            <w:vAlign w:val="center"/>
          </w:tcPr>
          <w:p w14:paraId="312FF7C0">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320217565000</w:t>
            </w:r>
          </w:p>
        </w:tc>
        <w:tc>
          <w:tcPr>
            <w:tcW w:w="1481" w:type="dxa"/>
            <w:vAlign w:val="center"/>
          </w:tcPr>
          <w:p w14:paraId="1DFB3467">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对采用新结构、新材料、新工艺的建设工程和特殊结构的建设工程，设计单位未在设计中提出保障施工作业人员安全和预防生产安全事故的措施建议的处罚</w:t>
            </w:r>
          </w:p>
        </w:tc>
        <w:tc>
          <w:tcPr>
            <w:tcW w:w="622" w:type="dxa"/>
            <w:vAlign w:val="center"/>
          </w:tcPr>
          <w:p w14:paraId="64D879DA">
            <w:pPr>
              <w:spacing w:line="280" w:lineRule="exact"/>
              <w:rPr>
                <w:rFonts w:ascii="Times New Roman" w:hAnsi="Times New Roman" w:eastAsia="仿宋_GB2312" w:cs="方正仿宋_GBK"/>
                <w:color w:val="auto"/>
                <w:kern w:val="0"/>
                <w:szCs w:val="21"/>
              </w:rPr>
            </w:pPr>
          </w:p>
        </w:tc>
      </w:tr>
      <w:tr w14:paraId="48628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5" w:hRule="atLeast"/>
          <w:jc w:val="center"/>
        </w:trPr>
        <w:tc>
          <w:tcPr>
            <w:tcW w:w="536" w:type="dxa"/>
            <w:vMerge w:val="continue"/>
            <w:vAlign w:val="center"/>
          </w:tcPr>
          <w:p w14:paraId="7949BDF5">
            <w:pPr>
              <w:widowControl/>
              <w:autoSpaceDE w:val="0"/>
              <w:autoSpaceDN w:val="0"/>
              <w:spacing w:line="280" w:lineRule="exact"/>
              <w:jc w:val="center"/>
              <w:rPr>
                <w:rFonts w:hint="eastAsia" w:ascii="Times New Roman" w:hAnsi="Times New Roman" w:eastAsia="仿宋_GB2312" w:cs="方正仿宋_GBK"/>
                <w:color w:val="auto"/>
                <w:szCs w:val="21"/>
                <w:lang w:eastAsia="zh-CN"/>
              </w:rPr>
            </w:pPr>
          </w:p>
        </w:tc>
        <w:tc>
          <w:tcPr>
            <w:tcW w:w="1324" w:type="dxa"/>
            <w:vMerge w:val="continue"/>
            <w:vAlign w:val="center"/>
          </w:tcPr>
          <w:p w14:paraId="5E38E071">
            <w:pPr>
              <w:widowControl/>
              <w:autoSpaceDE w:val="0"/>
              <w:autoSpaceDN w:val="0"/>
              <w:spacing w:line="280" w:lineRule="exact"/>
              <w:jc w:val="left"/>
              <w:rPr>
                <w:rFonts w:ascii="Times New Roman" w:hAnsi="Times New Roman" w:eastAsia="仿宋_GB2312" w:cs="方正仿宋_GBK"/>
                <w:color w:val="auto"/>
                <w:szCs w:val="21"/>
              </w:rPr>
            </w:pPr>
          </w:p>
        </w:tc>
        <w:tc>
          <w:tcPr>
            <w:tcW w:w="794" w:type="dxa"/>
            <w:vMerge w:val="continue"/>
            <w:vAlign w:val="center"/>
          </w:tcPr>
          <w:p w14:paraId="7BDBA188">
            <w:pPr>
              <w:widowControl/>
              <w:autoSpaceDE w:val="0"/>
              <w:autoSpaceDN w:val="0"/>
              <w:spacing w:line="280" w:lineRule="exact"/>
              <w:jc w:val="center"/>
              <w:rPr>
                <w:rFonts w:ascii="Times New Roman" w:hAnsi="Times New Roman" w:eastAsia="仿宋_GB2312" w:cs="方正仿宋_GBK"/>
                <w:color w:val="auto"/>
                <w:szCs w:val="21"/>
              </w:rPr>
            </w:pPr>
          </w:p>
        </w:tc>
        <w:tc>
          <w:tcPr>
            <w:tcW w:w="872" w:type="dxa"/>
            <w:vMerge w:val="continue"/>
            <w:vAlign w:val="center"/>
          </w:tcPr>
          <w:p w14:paraId="4F137E63">
            <w:pPr>
              <w:widowControl/>
              <w:autoSpaceDE w:val="0"/>
              <w:autoSpaceDN w:val="0"/>
              <w:spacing w:line="280" w:lineRule="exact"/>
              <w:jc w:val="left"/>
              <w:rPr>
                <w:rFonts w:ascii="Times New Roman" w:hAnsi="Times New Roman" w:eastAsia="仿宋_GB2312" w:cs="方正仿宋_GBK"/>
                <w:color w:val="auto"/>
                <w:szCs w:val="21"/>
              </w:rPr>
            </w:pPr>
          </w:p>
        </w:tc>
        <w:tc>
          <w:tcPr>
            <w:tcW w:w="869" w:type="dxa"/>
            <w:vMerge w:val="continue"/>
            <w:vAlign w:val="center"/>
          </w:tcPr>
          <w:p w14:paraId="41FC44A8">
            <w:pPr>
              <w:widowControl/>
              <w:autoSpaceDE w:val="0"/>
              <w:autoSpaceDN w:val="0"/>
              <w:spacing w:line="280" w:lineRule="exact"/>
              <w:jc w:val="left"/>
              <w:rPr>
                <w:rFonts w:ascii="Times New Roman" w:hAnsi="Times New Roman" w:eastAsia="仿宋_GB2312" w:cs="方正仿宋_GBK"/>
                <w:color w:val="auto"/>
                <w:szCs w:val="21"/>
              </w:rPr>
            </w:pPr>
          </w:p>
        </w:tc>
        <w:tc>
          <w:tcPr>
            <w:tcW w:w="4962" w:type="dxa"/>
            <w:vAlign w:val="center"/>
          </w:tcPr>
          <w:p w14:paraId="6403A9ED">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【法律】《中华人民共和国建筑法》</w:t>
            </w:r>
          </w:p>
          <w:p w14:paraId="20CCDD67">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第五十六条  建筑工程的勘察、设计单位必须对其勘察、设计的质量负责。勘察设计文件应当符合有关法律、行政法规的规定和建筑工程质量、安全标准、建筑工程勘察、设计技术规范以及合同的约定。设计文件选用的建筑材料、建筑构配件和设备，应当注明其规格、型号、性能等技术指标，其质量要求必须符合国家规定的标准。</w:t>
            </w:r>
          </w:p>
          <w:p w14:paraId="4D1A9A28">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第七十三条  建筑设计单位不按照建筑工程质</w:t>
            </w:r>
            <w:r>
              <w:rPr>
                <w:rFonts w:ascii="Times New Roman" w:hAnsi="Times New Roman" w:eastAsia="仿宋_GB2312" w:cs="方正仿宋_GBK"/>
                <w:color w:val="auto"/>
                <w:szCs w:val="21"/>
              </w:rPr>
              <w:t xml:space="preserve"> </w:t>
            </w:r>
          </w:p>
        </w:tc>
        <w:tc>
          <w:tcPr>
            <w:tcW w:w="992" w:type="dxa"/>
            <w:vAlign w:val="center"/>
          </w:tcPr>
          <w:p w14:paraId="4BE39E32">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现场检查、书面检查</w:t>
            </w:r>
          </w:p>
        </w:tc>
        <w:tc>
          <w:tcPr>
            <w:tcW w:w="1139" w:type="dxa"/>
            <w:vAlign w:val="center"/>
          </w:tcPr>
          <w:p w14:paraId="3DA416EC">
            <w:pPr>
              <w:widowControl/>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双随机</w:t>
            </w:r>
          </w:p>
        </w:tc>
        <w:tc>
          <w:tcPr>
            <w:tcW w:w="1491" w:type="dxa"/>
            <w:vAlign w:val="center"/>
          </w:tcPr>
          <w:p w14:paraId="51949F75">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320217624000</w:t>
            </w:r>
          </w:p>
        </w:tc>
        <w:tc>
          <w:tcPr>
            <w:tcW w:w="1481" w:type="dxa"/>
            <w:vAlign w:val="center"/>
          </w:tcPr>
          <w:p w14:paraId="5852B62B">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对勘察、设计单位未按照法律、法规和工程建设强制性标准进行勘察、设计的处罚</w:t>
            </w:r>
          </w:p>
        </w:tc>
        <w:tc>
          <w:tcPr>
            <w:tcW w:w="622" w:type="dxa"/>
            <w:vAlign w:val="center"/>
          </w:tcPr>
          <w:p w14:paraId="3B5954D1">
            <w:pPr>
              <w:spacing w:line="280" w:lineRule="exact"/>
              <w:rPr>
                <w:rFonts w:ascii="Times New Roman" w:hAnsi="Times New Roman" w:eastAsia="仿宋_GB2312" w:cs="方正仿宋_GBK"/>
                <w:color w:val="auto"/>
                <w:kern w:val="0"/>
                <w:szCs w:val="21"/>
              </w:rPr>
            </w:pPr>
          </w:p>
        </w:tc>
      </w:tr>
      <w:tr w14:paraId="4BC69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5" w:hRule="atLeast"/>
          <w:jc w:val="center"/>
        </w:trPr>
        <w:tc>
          <w:tcPr>
            <w:tcW w:w="536" w:type="dxa"/>
            <w:vAlign w:val="center"/>
          </w:tcPr>
          <w:p w14:paraId="7E9FBD8F">
            <w:pPr>
              <w:widowControl/>
              <w:autoSpaceDE w:val="0"/>
              <w:autoSpaceDN w:val="0"/>
              <w:spacing w:line="280" w:lineRule="exact"/>
              <w:jc w:val="center"/>
              <w:rPr>
                <w:rFonts w:hint="eastAsia" w:ascii="Times New Roman" w:hAnsi="Times New Roman" w:eastAsia="仿宋_GB2312" w:cs="方正仿宋_GBK"/>
                <w:color w:val="auto"/>
                <w:szCs w:val="21"/>
                <w:lang w:val="en-US" w:eastAsia="zh-CN"/>
              </w:rPr>
            </w:pPr>
            <w:r>
              <w:rPr>
                <w:rFonts w:hint="eastAsia" w:ascii="Times New Roman" w:hAnsi="Times New Roman" w:eastAsia="仿宋_GB2312" w:cs="方正仿宋_GBK"/>
                <w:color w:val="auto"/>
                <w:szCs w:val="21"/>
                <w:lang w:val="en-US" w:eastAsia="zh-CN"/>
              </w:rPr>
              <w:t>9</w:t>
            </w:r>
          </w:p>
        </w:tc>
        <w:tc>
          <w:tcPr>
            <w:tcW w:w="1324" w:type="dxa"/>
            <w:vAlign w:val="center"/>
          </w:tcPr>
          <w:p w14:paraId="0449C832">
            <w:pPr>
              <w:widowControl/>
              <w:autoSpaceDE w:val="0"/>
              <w:autoSpaceDN w:val="0"/>
              <w:spacing w:line="280" w:lineRule="exact"/>
              <w:jc w:val="left"/>
              <w:rPr>
                <w:rFonts w:hint="eastAsia" w:ascii="Times New Roman" w:hAnsi="Times New Roman" w:eastAsia="仿宋_GB2312" w:cs="方正仿宋_GBK"/>
                <w:color w:val="auto"/>
                <w:szCs w:val="21"/>
                <w:lang w:val="en-US" w:eastAsia="zh-CN"/>
              </w:rPr>
            </w:pPr>
            <w:r>
              <w:rPr>
                <w:rFonts w:hint="eastAsia" w:ascii="Times New Roman" w:hAnsi="Times New Roman" w:eastAsia="仿宋_GB2312" w:cs="方正仿宋_GBK"/>
                <w:color w:val="auto"/>
                <w:szCs w:val="21"/>
              </w:rPr>
              <w:t>对工程勘察设计质量行为的行政检查</w:t>
            </w:r>
          </w:p>
        </w:tc>
        <w:tc>
          <w:tcPr>
            <w:tcW w:w="794" w:type="dxa"/>
            <w:vAlign w:val="center"/>
          </w:tcPr>
          <w:p w14:paraId="332A7635">
            <w:pPr>
              <w:widowControl/>
              <w:autoSpaceDE w:val="0"/>
              <w:autoSpaceDN w:val="0"/>
              <w:spacing w:line="280" w:lineRule="exact"/>
              <w:jc w:val="center"/>
              <w:rPr>
                <w:rFonts w:hint="eastAsia" w:ascii="Times New Roman" w:hAnsi="Times New Roman" w:eastAsia="仿宋_GB2312" w:cs="方正仿宋_GBK"/>
                <w:color w:val="auto"/>
                <w:szCs w:val="21"/>
                <w:lang w:val="en-US" w:eastAsia="zh-CN"/>
              </w:rPr>
            </w:pPr>
            <w:r>
              <w:rPr>
                <w:rFonts w:hint="eastAsia" w:ascii="Times New Roman" w:hAnsi="Times New Roman" w:eastAsia="仿宋_GB2312" w:cs="方正仿宋_GBK"/>
                <w:color w:val="auto"/>
                <w:szCs w:val="21"/>
              </w:rPr>
              <w:t>苏州市相城区住房和城乡建设局</w:t>
            </w:r>
          </w:p>
        </w:tc>
        <w:tc>
          <w:tcPr>
            <w:tcW w:w="872" w:type="dxa"/>
            <w:vAlign w:val="center"/>
          </w:tcPr>
          <w:p w14:paraId="740C0208">
            <w:pPr>
              <w:widowControl/>
              <w:autoSpaceDE w:val="0"/>
              <w:autoSpaceDN w:val="0"/>
              <w:spacing w:line="280" w:lineRule="exact"/>
              <w:jc w:val="left"/>
              <w:rPr>
                <w:rFonts w:hint="eastAsia" w:ascii="Times New Roman" w:hAnsi="Times New Roman" w:eastAsia="仿宋_GB2312" w:cs="方正仿宋_GBK"/>
                <w:color w:val="auto"/>
                <w:szCs w:val="21"/>
                <w:lang w:val="en-US" w:eastAsia="zh-CN"/>
              </w:rPr>
            </w:pPr>
            <w:r>
              <w:rPr>
                <w:rFonts w:hint="eastAsia" w:ascii="Times New Roman" w:hAnsi="Times New Roman" w:eastAsia="仿宋_GB2312" w:cs="方正仿宋_GBK"/>
                <w:color w:val="auto"/>
                <w:szCs w:val="21"/>
              </w:rPr>
              <w:t>相城区建设工程质量安全监督中心</w:t>
            </w:r>
          </w:p>
        </w:tc>
        <w:tc>
          <w:tcPr>
            <w:tcW w:w="869" w:type="dxa"/>
            <w:vAlign w:val="center"/>
          </w:tcPr>
          <w:p w14:paraId="50DCA9FC">
            <w:pPr>
              <w:widowControl/>
              <w:autoSpaceDE w:val="0"/>
              <w:autoSpaceDN w:val="0"/>
              <w:spacing w:line="280" w:lineRule="exact"/>
              <w:jc w:val="left"/>
              <w:rPr>
                <w:rFonts w:hint="eastAsia" w:ascii="Times New Roman" w:hAnsi="Times New Roman" w:eastAsia="仿宋_GB2312" w:cs="方正仿宋_GBK"/>
                <w:color w:val="auto"/>
                <w:szCs w:val="21"/>
                <w:lang w:val="en-US" w:eastAsia="zh-CN"/>
              </w:rPr>
            </w:pPr>
            <w:r>
              <w:rPr>
                <w:rFonts w:hint="eastAsia" w:ascii="Times New Roman" w:hAnsi="Times New Roman" w:eastAsia="仿宋_GB2312" w:cs="方正仿宋_GBK"/>
                <w:color w:val="auto"/>
                <w:szCs w:val="21"/>
              </w:rPr>
              <w:t>勘察设计行业</w:t>
            </w:r>
          </w:p>
        </w:tc>
        <w:tc>
          <w:tcPr>
            <w:tcW w:w="4962" w:type="dxa"/>
            <w:vAlign w:val="center"/>
          </w:tcPr>
          <w:p w14:paraId="0C3BF304">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量、安全标准进行设计的，责令改正，处以罚款；造成工程质量事故的，责令停业整顿，降低资质等级或者吊销资质证书，没收违法所得，并处罚款；造成损失的，承担赔偿责任；构成犯罪的，依法追究刑事责任。</w:t>
            </w:r>
          </w:p>
          <w:p w14:paraId="197DAD14">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【行政法规】《建设工程安全生产管理条例》</w:t>
            </w:r>
          </w:p>
          <w:p w14:paraId="0399B16F">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第十二条第一款　勘察单位应当按照法律、法规和工程建设强制性标准进行勘察，提供的勘察文件应当真实、准确，满足建设工程安全生产的需要。</w:t>
            </w:r>
          </w:p>
          <w:p w14:paraId="0FB4970A">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第十三条第一款　设计单位应当按照法律、法规和工程建设强制性标准进行设计，防止因设计不合理导致生产安全事故的发生。</w:t>
            </w:r>
          </w:p>
          <w:p w14:paraId="7B1A2CA3">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第五十六条　违反本条例的规定，勘察单位、设计单位有下列行为之一的，责令限期改正，处10万元以上30万元以下的罚款；情节严重的，责令停业整顿，降低资质等级，直至吊销资质证书；造成重大安全事故，构成犯罪的，对直接责任人员，依照刑法有关规定追究刑事责任；造成损失的，依法承担赔偿责任：</w:t>
            </w:r>
          </w:p>
          <w:p w14:paraId="01F7B3BC">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（一）未按照法律、法规和工程建设强制性标准进行勘察、设计的；</w:t>
            </w:r>
          </w:p>
          <w:p w14:paraId="6155CC98">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第六十八条　本条例规定的行政处罚，由建设行政主管部门或者其他有关部门依照法定职权决定。</w:t>
            </w:r>
          </w:p>
          <w:p w14:paraId="2C353208">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违反消防安全管理规定的行为，由公安消防机构依法处罚。</w:t>
            </w:r>
          </w:p>
          <w:p w14:paraId="16263142">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有关法律、行政法规对建设工程安全生产违法行为的行政处罚决定机关另有规定的，从其规定。</w:t>
            </w:r>
          </w:p>
          <w:p w14:paraId="179550BA">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【行政法规】《建设工程质量管理条例》</w:t>
            </w:r>
          </w:p>
          <w:p w14:paraId="141B3942">
            <w:pPr>
              <w:spacing w:line="280" w:lineRule="exact"/>
              <w:rPr>
                <w:rFonts w:hint="eastAsia" w:ascii="Times New Roman" w:hAnsi="Times New Roman" w:eastAsia="仿宋_GB2312" w:cs="方正仿宋_GBK"/>
                <w:color w:val="auto"/>
                <w:szCs w:val="21"/>
                <w:lang w:val="en-US" w:eastAsia="zh-CN"/>
              </w:rPr>
            </w:pPr>
            <w:r>
              <w:rPr>
                <w:rFonts w:hint="eastAsia" w:ascii="Times New Roman" w:hAnsi="Times New Roman" w:eastAsia="仿宋_GB2312" w:cs="方正仿宋_GBK"/>
                <w:color w:val="auto"/>
                <w:szCs w:val="21"/>
              </w:rPr>
              <w:t>第十九条第一款  勘察、设计单位必须按照工程建设强制性标准进行勘察、设计，并对其勘察、设计的质</w:t>
            </w:r>
          </w:p>
        </w:tc>
        <w:tc>
          <w:tcPr>
            <w:tcW w:w="992" w:type="dxa"/>
            <w:vAlign w:val="center"/>
          </w:tcPr>
          <w:p w14:paraId="212FE614">
            <w:pPr>
              <w:widowControl/>
              <w:autoSpaceDE w:val="0"/>
              <w:autoSpaceDN w:val="0"/>
              <w:spacing w:line="280" w:lineRule="exact"/>
              <w:jc w:val="left"/>
              <w:rPr>
                <w:rFonts w:hint="eastAsia" w:ascii="Times New Roman" w:hAnsi="Times New Roman" w:eastAsia="仿宋_GB2312" w:cs="方正仿宋_GBK"/>
                <w:color w:val="auto"/>
                <w:szCs w:val="21"/>
                <w:lang w:val="en-US" w:eastAsia="zh-CN"/>
              </w:rPr>
            </w:pPr>
            <w:r>
              <w:rPr>
                <w:rFonts w:hint="eastAsia" w:ascii="Times New Roman" w:hAnsi="Times New Roman" w:eastAsia="仿宋_GB2312" w:cs="方正仿宋_GBK"/>
                <w:color w:val="auto"/>
                <w:szCs w:val="21"/>
              </w:rPr>
              <w:t>现场检查、书面检查</w:t>
            </w:r>
          </w:p>
        </w:tc>
        <w:tc>
          <w:tcPr>
            <w:tcW w:w="1139" w:type="dxa"/>
            <w:vAlign w:val="center"/>
          </w:tcPr>
          <w:p w14:paraId="56E4CFE3">
            <w:pPr>
              <w:widowControl/>
              <w:autoSpaceDE w:val="0"/>
              <w:autoSpaceDN w:val="0"/>
              <w:spacing w:line="280" w:lineRule="exact"/>
              <w:jc w:val="center"/>
              <w:rPr>
                <w:rFonts w:hint="eastAsia" w:ascii="Times New Roman" w:hAnsi="Times New Roman" w:eastAsia="仿宋_GB2312" w:cs="方正仿宋_GBK"/>
                <w:color w:val="auto"/>
                <w:szCs w:val="21"/>
                <w:lang w:val="en-US" w:eastAsia="zh-CN"/>
              </w:rPr>
            </w:pPr>
            <w:r>
              <w:rPr>
                <w:rFonts w:hint="eastAsia" w:ascii="Times New Roman" w:hAnsi="Times New Roman" w:eastAsia="仿宋_GB2312" w:cs="方正仿宋_GBK"/>
                <w:color w:val="auto"/>
                <w:szCs w:val="21"/>
              </w:rPr>
              <w:t>双随机</w:t>
            </w:r>
          </w:p>
        </w:tc>
        <w:tc>
          <w:tcPr>
            <w:tcW w:w="1491" w:type="dxa"/>
            <w:vAlign w:val="center"/>
          </w:tcPr>
          <w:p w14:paraId="71B8E203">
            <w:pPr>
              <w:widowControl/>
              <w:autoSpaceDE w:val="0"/>
              <w:autoSpaceDN w:val="0"/>
              <w:spacing w:line="280" w:lineRule="exact"/>
              <w:jc w:val="left"/>
              <w:rPr>
                <w:rFonts w:hint="eastAsia" w:ascii="Times New Roman" w:hAnsi="Times New Roman" w:eastAsia="仿宋_GB2312" w:cs="方正仿宋_GBK"/>
                <w:color w:val="auto"/>
                <w:szCs w:val="21"/>
                <w:lang w:val="en-US" w:eastAsia="zh-CN"/>
              </w:rPr>
            </w:pPr>
            <w:r>
              <w:rPr>
                <w:rFonts w:hint="eastAsia" w:ascii="Times New Roman" w:hAnsi="Times New Roman" w:eastAsia="仿宋_GB2312" w:cs="方正仿宋_GBK"/>
                <w:color w:val="auto"/>
                <w:szCs w:val="21"/>
              </w:rPr>
              <w:t>320217624000</w:t>
            </w:r>
          </w:p>
        </w:tc>
        <w:tc>
          <w:tcPr>
            <w:tcW w:w="1481" w:type="dxa"/>
            <w:vAlign w:val="center"/>
          </w:tcPr>
          <w:p w14:paraId="6EEEB35D">
            <w:pPr>
              <w:widowControl/>
              <w:autoSpaceDE w:val="0"/>
              <w:autoSpaceDN w:val="0"/>
              <w:spacing w:line="280" w:lineRule="exact"/>
              <w:jc w:val="left"/>
              <w:rPr>
                <w:rFonts w:hint="eastAsia" w:ascii="Times New Roman" w:hAnsi="Times New Roman" w:eastAsia="仿宋_GB2312" w:cs="方正仿宋_GBK"/>
                <w:color w:val="auto"/>
                <w:szCs w:val="21"/>
                <w:lang w:val="en-US" w:eastAsia="zh-CN"/>
              </w:rPr>
            </w:pPr>
            <w:r>
              <w:rPr>
                <w:rFonts w:hint="eastAsia" w:ascii="Times New Roman" w:hAnsi="Times New Roman" w:eastAsia="仿宋_GB2312" w:cs="方正仿宋_GBK"/>
                <w:color w:val="auto"/>
                <w:szCs w:val="21"/>
              </w:rPr>
              <w:t>对勘察、设计单位未按照法律、法规和工程建设强制性标准进行勘察、设计的处罚</w:t>
            </w:r>
          </w:p>
        </w:tc>
        <w:tc>
          <w:tcPr>
            <w:tcW w:w="622" w:type="dxa"/>
            <w:vAlign w:val="center"/>
          </w:tcPr>
          <w:p w14:paraId="705E7EF4">
            <w:pPr>
              <w:spacing w:line="280" w:lineRule="exact"/>
              <w:rPr>
                <w:rFonts w:hint="eastAsia" w:ascii="Times New Roman" w:hAnsi="Times New Roman" w:eastAsia="仿宋_GB2312" w:cs="方正仿宋_GBK"/>
                <w:color w:val="auto"/>
                <w:szCs w:val="21"/>
                <w:lang w:val="en-US" w:eastAsia="zh-CN"/>
              </w:rPr>
            </w:pPr>
          </w:p>
        </w:tc>
      </w:tr>
      <w:tr w14:paraId="1F4AC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6" w:type="dxa"/>
            <w:vMerge w:val="restart"/>
            <w:vAlign w:val="center"/>
          </w:tcPr>
          <w:p w14:paraId="33BA96D2">
            <w:pPr>
              <w:widowControl/>
              <w:autoSpaceDE w:val="0"/>
              <w:autoSpaceDN w:val="0"/>
              <w:spacing w:line="280" w:lineRule="exact"/>
              <w:jc w:val="center"/>
              <w:rPr>
                <w:rFonts w:hint="eastAsia" w:ascii="Times New Roman" w:hAnsi="Times New Roman" w:eastAsia="仿宋_GB2312" w:cs="方正仿宋_GBK"/>
                <w:color w:val="auto"/>
                <w:szCs w:val="21"/>
                <w:lang w:eastAsia="zh-CN"/>
              </w:rPr>
            </w:pPr>
            <w:r>
              <w:rPr>
                <w:rFonts w:hint="eastAsia" w:ascii="Times New Roman" w:hAnsi="Times New Roman" w:eastAsia="仿宋_GB2312" w:cs="方正仿宋_GBK"/>
                <w:color w:val="auto"/>
                <w:szCs w:val="21"/>
                <w:lang w:val="en-US" w:eastAsia="zh-CN"/>
              </w:rPr>
              <w:t>9</w:t>
            </w:r>
          </w:p>
        </w:tc>
        <w:tc>
          <w:tcPr>
            <w:tcW w:w="1324" w:type="dxa"/>
            <w:vMerge w:val="restart"/>
            <w:vAlign w:val="center"/>
          </w:tcPr>
          <w:p w14:paraId="250242B2">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对工程勘察设计质量行为的行政检查</w:t>
            </w:r>
          </w:p>
        </w:tc>
        <w:tc>
          <w:tcPr>
            <w:tcW w:w="794" w:type="dxa"/>
            <w:vMerge w:val="restart"/>
            <w:vAlign w:val="center"/>
          </w:tcPr>
          <w:p w14:paraId="189CE5AF">
            <w:pPr>
              <w:widowControl/>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苏州市相城区住房和城乡建设局</w:t>
            </w:r>
          </w:p>
        </w:tc>
        <w:tc>
          <w:tcPr>
            <w:tcW w:w="872" w:type="dxa"/>
            <w:vMerge w:val="restart"/>
            <w:vAlign w:val="center"/>
          </w:tcPr>
          <w:p w14:paraId="176AB92F">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相城区建设工程质量安全监督中心</w:t>
            </w:r>
          </w:p>
        </w:tc>
        <w:tc>
          <w:tcPr>
            <w:tcW w:w="869" w:type="dxa"/>
            <w:vMerge w:val="restart"/>
            <w:vAlign w:val="center"/>
          </w:tcPr>
          <w:p w14:paraId="700D44D7">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勘察设计行业</w:t>
            </w:r>
          </w:p>
        </w:tc>
        <w:tc>
          <w:tcPr>
            <w:tcW w:w="4962" w:type="dxa"/>
            <w:vAlign w:val="center"/>
          </w:tcPr>
          <w:p w14:paraId="78047794">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量负责。</w:t>
            </w:r>
          </w:p>
          <w:p w14:paraId="7A47F2C3">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第六十三条  违反本条例规定，有下列行为之一的，责令改正，处10万元以上30万元以下的罚款：</w:t>
            </w:r>
          </w:p>
          <w:p w14:paraId="53EC45A7">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（一）勘察单位未按照工程建设强制性标准进行勘察的。</w:t>
            </w:r>
          </w:p>
          <w:p w14:paraId="7EA123DF">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（四）设计单位未按照工程建设强制性标准进行设计的。</w:t>
            </w:r>
          </w:p>
          <w:p w14:paraId="0DAD221D">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第七十三条  依照本条例规定，给予单位罚款处罚的，对单位直接负责的主管人员和其他直接责任人员处单位罚款数额5％以上10％以下的罚款。</w:t>
            </w:r>
          </w:p>
          <w:p w14:paraId="5937266E">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第七十五条第一款  本条例规定的责令停业整顿、降低资质等级和吊销资质证书的行政处罚，由颁发资质证书的机关决定；其他行政处罚，由建设行政主管部门或者其他有关部门依照法定职权决定。</w:t>
            </w:r>
          </w:p>
        </w:tc>
        <w:tc>
          <w:tcPr>
            <w:tcW w:w="992" w:type="dxa"/>
            <w:vAlign w:val="center"/>
          </w:tcPr>
          <w:p w14:paraId="010E113F">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现场检查、书面检查</w:t>
            </w:r>
          </w:p>
        </w:tc>
        <w:tc>
          <w:tcPr>
            <w:tcW w:w="1139" w:type="dxa"/>
            <w:vAlign w:val="center"/>
          </w:tcPr>
          <w:p w14:paraId="483E7DB4">
            <w:pPr>
              <w:widowControl/>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双随机</w:t>
            </w:r>
          </w:p>
        </w:tc>
        <w:tc>
          <w:tcPr>
            <w:tcW w:w="1491" w:type="dxa"/>
            <w:vAlign w:val="center"/>
          </w:tcPr>
          <w:p w14:paraId="4E9903DA">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320217624000</w:t>
            </w:r>
          </w:p>
        </w:tc>
        <w:tc>
          <w:tcPr>
            <w:tcW w:w="1481" w:type="dxa"/>
            <w:vAlign w:val="center"/>
          </w:tcPr>
          <w:p w14:paraId="77EB1413">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对勘察、设计单位未按照法律、法规和工程建设强制性标准进行勘察、设计的处罚</w:t>
            </w:r>
          </w:p>
        </w:tc>
        <w:tc>
          <w:tcPr>
            <w:tcW w:w="622" w:type="dxa"/>
            <w:vAlign w:val="center"/>
          </w:tcPr>
          <w:p w14:paraId="45365909">
            <w:pPr>
              <w:spacing w:line="280" w:lineRule="exact"/>
              <w:rPr>
                <w:rFonts w:ascii="Times New Roman" w:hAnsi="Times New Roman" w:eastAsia="仿宋_GB2312" w:cs="方正仿宋_GBK"/>
                <w:color w:val="auto"/>
                <w:kern w:val="0"/>
                <w:szCs w:val="21"/>
              </w:rPr>
            </w:pPr>
          </w:p>
        </w:tc>
      </w:tr>
      <w:tr w14:paraId="035CE8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5" w:hRule="atLeast"/>
          <w:jc w:val="center"/>
        </w:trPr>
        <w:tc>
          <w:tcPr>
            <w:tcW w:w="536" w:type="dxa"/>
            <w:vMerge w:val="continue"/>
            <w:vAlign w:val="center"/>
          </w:tcPr>
          <w:p w14:paraId="32A3CBC9">
            <w:pPr>
              <w:widowControl/>
              <w:autoSpaceDE w:val="0"/>
              <w:autoSpaceDN w:val="0"/>
              <w:spacing w:line="280" w:lineRule="exact"/>
              <w:jc w:val="center"/>
              <w:rPr>
                <w:rFonts w:hint="eastAsia" w:ascii="Times New Roman" w:hAnsi="Times New Roman" w:eastAsia="仿宋_GB2312" w:cs="方正仿宋_GBK"/>
                <w:color w:val="auto"/>
                <w:szCs w:val="21"/>
                <w:lang w:eastAsia="zh-CN"/>
              </w:rPr>
            </w:pPr>
          </w:p>
        </w:tc>
        <w:tc>
          <w:tcPr>
            <w:tcW w:w="1324" w:type="dxa"/>
            <w:vMerge w:val="continue"/>
            <w:vAlign w:val="center"/>
          </w:tcPr>
          <w:p w14:paraId="35BBC4D5">
            <w:pPr>
              <w:widowControl/>
              <w:autoSpaceDE w:val="0"/>
              <w:autoSpaceDN w:val="0"/>
              <w:spacing w:line="280" w:lineRule="exact"/>
              <w:jc w:val="left"/>
              <w:rPr>
                <w:rFonts w:ascii="Times New Roman" w:hAnsi="Times New Roman" w:eastAsia="仿宋_GB2312" w:cs="方正仿宋_GBK"/>
                <w:color w:val="auto"/>
                <w:szCs w:val="21"/>
              </w:rPr>
            </w:pPr>
          </w:p>
        </w:tc>
        <w:tc>
          <w:tcPr>
            <w:tcW w:w="794" w:type="dxa"/>
            <w:vMerge w:val="continue"/>
            <w:vAlign w:val="center"/>
          </w:tcPr>
          <w:p w14:paraId="35177DFC">
            <w:pPr>
              <w:widowControl/>
              <w:autoSpaceDE w:val="0"/>
              <w:autoSpaceDN w:val="0"/>
              <w:spacing w:line="280" w:lineRule="exact"/>
              <w:jc w:val="center"/>
              <w:rPr>
                <w:rFonts w:ascii="Times New Roman" w:hAnsi="Times New Roman" w:eastAsia="仿宋_GB2312" w:cs="方正仿宋_GBK"/>
                <w:color w:val="auto"/>
                <w:szCs w:val="21"/>
              </w:rPr>
            </w:pPr>
          </w:p>
        </w:tc>
        <w:tc>
          <w:tcPr>
            <w:tcW w:w="872" w:type="dxa"/>
            <w:vMerge w:val="continue"/>
            <w:vAlign w:val="center"/>
          </w:tcPr>
          <w:p w14:paraId="1DA73EF1">
            <w:pPr>
              <w:widowControl/>
              <w:autoSpaceDE w:val="0"/>
              <w:autoSpaceDN w:val="0"/>
              <w:spacing w:line="280" w:lineRule="exact"/>
              <w:jc w:val="left"/>
              <w:rPr>
                <w:rFonts w:ascii="Times New Roman" w:hAnsi="Times New Roman" w:eastAsia="仿宋_GB2312" w:cs="方正仿宋_GBK"/>
                <w:color w:val="auto"/>
                <w:szCs w:val="21"/>
              </w:rPr>
            </w:pPr>
          </w:p>
        </w:tc>
        <w:tc>
          <w:tcPr>
            <w:tcW w:w="869" w:type="dxa"/>
            <w:vMerge w:val="continue"/>
            <w:vAlign w:val="center"/>
          </w:tcPr>
          <w:p w14:paraId="6E63C8A2">
            <w:pPr>
              <w:widowControl/>
              <w:autoSpaceDE w:val="0"/>
              <w:autoSpaceDN w:val="0"/>
              <w:spacing w:line="280" w:lineRule="exact"/>
              <w:jc w:val="left"/>
              <w:rPr>
                <w:rFonts w:ascii="Times New Roman" w:hAnsi="Times New Roman" w:eastAsia="仿宋_GB2312" w:cs="方正仿宋_GBK"/>
                <w:color w:val="auto"/>
                <w:szCs w:val="21"/>
              </w:rPr>
            </w:pPr>
          </w:p>
        </w:tc>
        <w:tc>
          <w:tcPr>
            <w:tcW w:w="4962" w:type="dxa"/>
            <w:vAlign w:val="center"/>
          </w:tcPr>
          <w:p w14:paraId="50CF5954">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【行政法规】《建设工程抗震管理条例》</w:t>
            </w:r>
          </w:p>
          <w:p w14:paraId="3A07B026">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第四十一条　违反本条例规定，设计单位有下列行为之一的，责令改正，处10万元以上30万元以下的罚款；情节严重的，责令停业整顿，降低资质等级或者吊销资质证书；造成损失的，依法承担赔偿责任：</w:t>
            </w:r>
          </w:p>
          <w:p w14:paraId="7065B40D">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（三）未按照抗震设防强制性标准进行设计。</w:t>
            </w:r>
          </w:p>
          <w:p w14:paraId="56B60CDF">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第四十七条　依照本条例规定，给予单位罚款处罚的，对其直接负责的主管人员和其他直接责任人员处单位罚款数额5%以上10%以下的罚款。</w:t>
            </w:r>
          </w:p>
          <w:p w14:paraId="619176A5">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本条例规定的降低资质等级或者吊销资质证书的行政处罚，由颁发资质证书的机关决定；其他行政处罚，由住房和城乡建设主管部门或者其他有关监督管理部门依照法定职权决定。</w:t>
            </w:r>
          </w:p>
        </w:tc>
        <w:tc>
          <w:tcPr>
            <w:tcW w:w="992" w:type="dxa"/>
            <w:vMerge w:val="restart"/>
            <w:vAlign w:val="center"/>
          </w:tcPr>
          <w:p w14:paraId="7855D93F">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现场检查、书面检查</w:t>
            </w:r>
          </w:p>
        </w:tc>
        <w:tc>
          <w:tcPr>
            <w:tcW w:w="1139" w:type="dxa"/>
            <w:vMerge w:val="restart"/>
            <w:vAlign w:val="center"/>
          </w:tcPr>
          <w:p w14:paraId="21A26015">
            <w:pPr>
              <w:widowControl/>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双随机</w:t>
            </w:r>
          </w:p>
        </w:tc>
        <w:tc>
          <w:tcPr>
            <w:tcW w:w="1491" w:type="dxa"/>
            <w:vAlign w:val="center"/>
          </w:tcPr>
          <w:p w14:paraId="21484203">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320217624000</w:t>
            </w:r>
          </w:p>
        </w:tc>
        <w:tc>
          <w:tcPr>
            <w:tcW w:w="1481" w:type="dxa"/>
            <w:vAlign w:val="center"/>
          </w:tcPr>
          <w:p w14:paraId="72B4CB03">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对勘察、设计单位未按照法律、法规和工程建设强制性标准进行勘察、设计的处罚</w:t>
            </w:r>
          </w:p>
        </w:tc>
        <w:tc>
          <w:tcPr>
            <w:tcW w:w="622" w:type="dxa"/>
            <w:vAlign w:val="center"/>
          </w:tcPr>
          <w:p w14:paraId="5CA1DAF9">
            <w:pPr>
              <w:spacing w:line="280" w:lineRule="exact"/>
              <w:rPr>
                <w:rFonts w:ascii="Times New Roman" w:hAnsi="Times New Roman" w:eastAsia="仿宋_GB2312" w:cs="方正仿宋_GBK"/>
                <w:color w:val="auto"/>
                <w:kern w:val="0"/>
                <w:szCs w:val="21"/>
              </w:rPr>
            </w:pPr>
          </w:p>
        </w:tc>
      </w:tr>
      <w:tr w14:paraId="0FCCAD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6" w:hRule="atLeast"/>
          <w:jc w:val="center"/>
        </w:trPr>
        <w:tc>
          <w:tcPr>
            <w:tcW w:w="536" w:type="dxa"/>
            <w:vAlign w:val="center"/>
          </w:tcPr>
          <w:p w14:paraId="369B6D24">
            <w:pPr>
              <w:widowControl/>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lang w:val="en-US" w:eastAsia="zh-CN"/>
              </w:rPr>
              <w:t>9</w:t>
            </w:r>
          </w:p>
        </w:tc>
        <w:tc>
          <w:tcPr>
            <w:tcW w:w="1324" w:type="dxa"/>
            <w:vAlign w:val="center"/>
          </w:tcPr>
          <w:p w14:paraId="1C1C160B">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对工程勘察设计质量行为的行政检查</w:t>
            </w:r>
          </w:p>
        </w:tc>
        <w:tc>
          <w:tcPr>
            <w:tcW w:w="794" w:type="dxa"/>
            <w:vAlign w:val="center"/>
          </w:tcPr>
          <w:p w14:paraId="4A840C9E">
            <w:pPr>
              <w:widowControl/>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苏州市相城区住房和城乡建设局</w:t>
            </w:r>
          </w:p>
        </w:tc>
        <w:tc>
          <w:tcPr>
            <w:tcW w:w="872" w:type="dxa"/>
            <w:vAlign w:val="center"/>
          </w:tcPr>
          <w:p w14:paraId="7D3C8DFA">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相城区建设工程质量安全监督中心</w:t>
            </w:r>
          </w:p>
        </w:tc>
        <w:tc>
          <w:tcPr>
            <w:tcW w:w="869" w:type="dxa"/>
            <w:vAlign w:val="center"/>
          </w:tcPr>
          <w:p w14:paraId="3F5D9C0A">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勘察设计行业</w:t>
            </w:r>
          </w:p>
        </w:tc>
        <w:tc>
          <w:tcPr>
            <w:tcW w:w="4962" w:type="dxa"/>
            <w:vAlign w:val="center"/>
          </w:tcPr>
          <w:p w14:paraId="4134C5B7">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【行政法规】《建设工程质量管理条例》</w:t>
            </w:r>
          </w:p>
          <w:p w14:paraId="512F5115">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第二十一条第一款  设计单位应当根据勘察成果文件进行建设工程设计。</w:t>
            </w:r>
          </w:p>
          <w:p w14:paraId="5459DDCA">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第六十三条  违反本条例规定，有下列行为之一的，责令改正，处10万元以上30万元以下的罚款：</w:t>
            </w:r>
          </w:p>
          <w:p w14:paraId="7EDA66A5">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（二）设计单位未根据勘察成果文件进行工程设计的。</w:t>
            </w:r>
          </w:p>
          <w:p w14:paraId="0E817CB0">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第七十三条  依照本条例规定，给予单位罚款处罚的，对单位直接负责的主管人员和其他直接责任人员处单位罚款数额5％以上10％以下的罚款。</w:t>
            </w:r>
          </w:p>
          <w:p w14:paraId="72452528">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第七十五条第一款  本条例规定的责令停业整顿、降低资质等级和吊销资质证书的行政处罚，由颁发资质证书的机关决定；其他行政处罚，由建设行政主管部门或者其他有关部门依照法定职权决定。</w:t>
            </w:r>
          </w:p>
        </w:tc>
        <w:tc>
          <w:tcPr>
            <w:tcW w:w="992" w:type="dxa"/>
            <w:vMerge w:val="continue"/>
            <w:vAlign w:val="center"/>
          </w:tcPr>
          <w:p w14:paraId="1FD8055F">
            <w:pPr>
              <w:widowControl/>
              <w:autoSpaceDE w:val="0"/>
              <w:autoSpaceDN w:val="0"/>
              <w:spacing w:line="280" w:lineRule="exact"/>
              <w:jc w:val="left"/>
              <w:rPr>
                <w:rFonts w:ascii="Times New Roman" w:hAnsi="Times New Roman" w:eastAsia="仿宋_GB2312" w:cs="方正仿宋_GBK"/>
                <w:color w:val="auto"/>
                <w:szCs w:val="21"/>
              </w:rPr>
            </w:pPr>
          </w:p>
        </w:tc>
        <w:tc>
          <w:tcPr>
            <w:tcW w:w="1139" w:type="dxa"/>
            <w:vMerge w:val="continue"/>
            <w:vAlign w:val="center"/>
          </w:tcPr>
          <w:p w14:paraId="597AB74A">
            <w:pPr>
              <w:widowControl/>
              <w:autoSpaceDE w:val="0"/>
              <w:autoSpaceDN w:val="0"/>
              <w:spacing w:line="280" w:lineRule="exact"/>
              <w:jc w:val="left"/>
              <w:rPr>
                <w:rFonts w:ascii="Times New Roman" w:hAnsi="Times New Roman" w:eastAsia="仿宋_GB2312" w:cs="方正仿宋_GBK"/>
                <w:color w:val="auto"/>
                <w:szCs w:val="21"/>
              </w:rPr>
            </w:pPr>
          </w:p>
        </w:tc>
        <w:tc>
          <w:tcPr>
            <w:tcW w:w="1491" w:type="dxa"/>
            <w:vAlign w:val="center"/>
          </w:tcPr>
          <w:p w14:paraId="228D583B">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320217043000</w:t>
            </w:r>
          </w:p>
        </w:tc>
        <w:tc>
          <w:tcPr>
            <w:tcW w:w="1481" w:type="dxa"/>
            <w:vAlign w:val="center"/>
          </w:tcPr>
          <w:p w14:paraId="11FD0A3B">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对设计单位未根据勘察成果文件进行工程设计的处罚</w:t>
            </w:r>
          </w:p>
        </w:tc>
        <w:tc>
          <w:tcPr>
            <w:tcW w:w="622" w:type="dxa"/>
            <w:vAlign w:val="center"/>
          </w:tcPr>
          <w:p w14:paraId="5C15687D">
            <w:pPr>
              <w:spacing w:line="280" w:lineRule="exact"/>
              <w:rPr>
                <w:rFonts w:ascii="Times New Roman" w:hAnsi="Times New Roman" w:eastAsia="仿宋_GB2312" w:cs="方正仿宋_GBK"/>
                <w:color w:val="auto"/>
                <w:kern w:val="0"/>
                <w:szCs w:val="21"/>
              </w:rPr>
            </w:pPr>
          </w:p>
        </w:tc>
      </w:tr>
      <w:tr w14:paraId="44FCED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7" w:hRule="atLeast"/>
          <w:jc w:val="center"/>
        </w:trPr>
        <w:tc>
          <w:tcPr>
            <w:tcW w:w="536" w:type="dxa"/>
            <w:vAlign w:val="center"/>
          </w:tcPr>
          <w:p w14:paraId="0CFAAD59">
            <w:pPr>
              <w:widowControl/>
              <w:autoSpaceDE w:val="0"/>
              <w:autoSpaceDN w:val="0"/>
              <w:spacing w:line="280" w:lineRule="exact"/>
              <w:jc w:val="center"/>
              <w:rPr>
                <w:rFonts w:hint="default" w:ascii="Times New Roman" w:hAnsi="Times New Roman" w:eastAsia="仿宋_GB2312" w:cs="方正仿宋_GBK"/>
                <w:color w:val="auto"/>
                <w:szCs w:val="21"/>
                <w:lang w:val="en-US" w:eastAsia="zh-CN"/>
              </w:rPr>
            </w:pPr>
            <w:r>
              <w:rPr>
                <w:rFonts w:hint="eastAsia" w:ascii="Times New Roman" w:hAnsi="Times New Roman" w:eastAsia="仿宋_GB2312" w:cs="方正仿宋_GBK"/>
                <w:color w:val="auto"/>
                <w:szCs w:val="21"/>
                <w:lang w:val="en-US" w:eastAsia="zh-CN"/>
              </w:rPr>
              <w:t>10</w:t>
            </w:r>
          </w:p>
        </w:tc>
        <w:tc>
          <w:tcPr>
            <w:tcW w:w="1324" w:type="dxa"/>
            <w:vAlign w:val="center"/>
          </w:tcPr>
          <w:p w14:paraId="3BEC4B42">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特殊建设消防验收</w:t>
            </w:r>
          </w:p>
        </w:tc>
        <w:tc>
          <w:tcPr>
            <w:tcW w:w="794" w:type="dxa"/>
            <w:vAlign w:val="center"/>
          </w:tcPr>
          <w:p w14:paraId="546582BD">
            <w:pPr>
              <w:widowControl/>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苏州市相城区住房和城乡建设局</w:t>
            </w:r>
          </w:p>
        </w:tc>
        <w:tc>
          <w:tcPr>
            <w:tcW w:w="872" w:type="dxa"/>
            <w:vAlign w:val="center"/>
          </w:tcPr>
          <w:p w14:paraId="70B8A269">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相城区建设工程质量安全监督中心</w:t>
            </w:r>
          </w:p>
        </w:tc>
        <w:tc>
          <w:tcPr>
            <w:tcW w:w="869" w:type="dxa"/>
            <w:vAlign w:val="center"/>
          </w:tcPr>
          <w:p w14:paraId="6FC48A9A">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建设工程建设单位</w:t>
            </w:r>
          </w:p>
        </w:tc>
        <w:tc>
          <w:tcPr>
            <w:tcW w:w="4962" w:type="dxa"/>
            <w:vAlign w:val="center"/>
          </w:tcPr>
          <w:p w14:paraId="0A6461BF">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w:t>
            </w:r>
            <w:r>
              <w:rPr>
                <w:rFonts w:hint="eastAsia" w:ascii="Times New Roman" w:hAnsi="Times New Roman" w:eastAsia="仿宋_GB2312" w:cs="方正仿宋_GBK"/>
                <w:color w:val="auto"/>
                <w:szCs w:val="21"/>
                <w:lang w:val="en-US" w:eastAsia="zh-CN"/>
              </w:rPr>
              <w:t>法律</w:t>
            </w:r>
            <w:r>
              <w:rPr>
                <w:rFonts w:hint="eastAsia" w:ascii="Times New Roman" w:hAnsi="Times New Roman" w:eastAsia="仿宋_GB2312" w:cs="方正仿宋_GBK"/>
                <w:color w:val="auto"/>
                <w:szCs w:val="21"/>
              </w:rPr>
              <w:t>】</w:t>
            </w:r>
            <w:bookmarkStart w:id="0" w:name="OLE_LINK1"/>
            <w:r>
              <w:rPr>
                <w:rFonts w:hint="eastAsia" w:ascii="Times New Roman" w:hAnsi="Times New Roman" w:eastAsia="仿宋_GB2312" w:cs="方正仿宋_GBK"/>
                <w:color w:val="auto"/>
                <w:szCs w:val="21"/>
              </w:rPr>
              <w:t>《中华人民共和国消防法》</w:t>
            </w:r>
            <w:bookmarkEnd w:id="0"/>
          </w:p>
          <w:p w14:paraId="1F5C01CE">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第十三条  国务院住房和城乡建设主管部门规定应当申请消防验收的建设工程竣工，建设单位应当向住房和城乡建设主管部门申请消防验收。前款规定以外的其他建设工程，建设单位在验收后应当报住房和城乡建设主管部门备案，住房和城乡建设主管部门应当进行抽查。依法应当进行消防验收的建设工程，未经消防验收或者消防验收不合格的，禁止投入使用；其他建设工程经依法抽查不合格的，应当停止使用。</w:t>
            </w:r>
          </w:p>
          <w:p w14:paraId="07F3BEA1">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第十四条　建设工程消防设计审查、消防验收、备案和抽查的具体办法，由国务院住房和城乡建设主管部门规定。</w:t>
            </w:r>
          </w:p>
        </w:tc>
        <w:tc>
          <w:tcPr>
            <w:tcW w:w="992" w:type="dxa"/>
            <w:vAlign w:val="center"/>
          </w:tcPr>
          <w:p w14:paraId="78EBD8D2">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现场检查、书面检查</w:t>
            </w:r>
          </w:p>
        </w:tc>
        <w:tc>
          <w:tcPr>
            <w:tcW w:w="1139" w:type="dxa"/>
            <w:vAlign w:val="center"/>
          </w:tcPr>
          <w:p w14:paraId="6FA09678">
            <w:pPr>
              <w:widowControl/>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双随机</w:t>
            </w:r>
          </w:p>
        </w:tc>
        <w:tc>
          <w:tcPr>
            <w:tcW w:w="1491" w:type="dxa"/>
            <w:vAlign w:val="center"/>
          </w:tcPr>
          <w:p w14:paraId="18B5D990">
            <w:pPr>
              <w:widowControl/>
              <w:spacing w:line="280" w:lineRule="exact"/>
              <w:jc w:val="center"/>
              <w:textAlignment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kern w:val="0"/>
                <w:szCs w:val="21"/>
                <w:lang w:bidi="ar"/>
              </w:rPr>
              <w:t>320217763000</w:t>
            </w:r>
          </w:p>
        </w:tc>
        <w:tc>
          <w:tcPr>
            <w:tcW w:w="1481" w:type="dxa"/>
            <w:vAlign w:val="center"/>
          </w:tcPr>
          <w:p w14:paraId="27E76ACA">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对依法应当进行消防验收的建设工程未经消防验收或者消防验收不合格擅自投入使用的处罚</w:t>
            </w:r>
          </w:p>
        </w:tc>
        <w:tc>
          <w:tcPr>
            <w:tcW w:w="622" w:type="dxa"/>
            <w:vAlign w:val="center"/>
          </w:tcPr>
          <w:p w14:paraId="337CEB83">
            <w:pPr>
              <w:spacing w:line="280" w:lineRule="exact"/>
              <w:jc w:val="center"/>
              <w:rPr>
                <w:rFonts w:ascii="Times New Roman" w:hAnsi="Times New Roman" w:eastAsia="仿宋_GB2312" w:cs="方正仿宋_GBK"/>
                <w:color w:val="auto"/>
                <w:kern w:val="0"/>
                <w:szCs w:val="21"/>
              </w:rPr>
            </w:pPr>
          </w:p>
        </w:tc>
      </w:tr>
      <w:tr w14:paraId="6CAA2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6" w:hRule="atLeast"/>
          <w:jc w:val="center"/>
        </w:trPr>
        <w:tc>
          <w:tcPr>
            <w:tcW w:w="536" w:type="dxa"/>
            <w:vMerge w:val="restart"/>
            <w:vAlign w:val="center"/>
          </w:tcPr>
          <w:p w14:paraId="66E997D4">
            <w:pPr>
              <w:widowControl/>
              <w:autoSpaceDE w:val="0"/>
              <w:autoSpaceDN w:val="0"/>
              <w:spacing w:line="280" w:lineRule="exact"/>
              <w:jc w:val="center"/>
              <w:rPr>
                <w:rFonts w:hint="default" w:ascii="Times New Roman" w:hAnsi="Times New Roman" w:eastAsia="仿宋_GB2312" w:cs="方正仿宋_GBK"/>
                <w:color w:val="auto"/>
                <w:szCs w:val="21"/>
                <w:lang w:val="en-US" w:eastAsia="zh-CN"/>
              </w:rPr>
            </w:pPr>
            <w:r>
              <w:rPr>
                <w:rFonts w:hint="eastAsia" w:ascii="Times New Roman" w:hAnsi="Times New Roman" w:eastAsia="仿宋_GB2312" w:cs="方正仿宋_GBK"/>
                <w:color w:val="auto"/>
                <w:szCs w:val="21"/>
                <w:lang w:val="en-US" w:eastAsia="zh-CN"/>
              </w:rPr>
              <w:t>11</w:t>
            </w:r>
          </w:p>
        </w:tc>
        <w:tc>
          <w:tcPr>
            <w:tcW w:w="1324" w:type="dxa"/>
            <w:vMerge w:val="restart"/>
            <w:vAlign w:val="center"/>
          </w:tcPr>
          <w:p w14:paraId="380B0CDB">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其他建设工程消防验收备案和抽查</w:t>
            </w:r>
          </w:p>
        </w:tc>
        <w:tc>
          <w:tcPr>
            <w:tcW w:w="794" w:type="dxa"/>
            <w:vMerge w:val="restart"/>
            <w:vAlign w:val="center"/>
          </w:tcPr>
          <w:p w14:paraId="3AE0919A">
            <w:pPr>
              <w:widowControl/>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苏州市相城区住房和城乡建设局</w:t>
            </w:r>
          </w:p>
        </w:tc>
        <w:tc>
          <w:tcPr>
            <w:tcW w:w="872" w:type="dxa"/>
            <w:vMerge w:val="restart"/>
            <w:vAlign w:val="center"/>
          </w:tcPr>
          <w:p w14:paraId="592B3964">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相城区建设工程质量安全监督中心</w:t>
            </w:r>
          </w:p>
        </w:tc>
        <w:tc>
          <w:tcPr>
            <w:tcW w:w="869" w:type="dxa"/>
            <w:vMerge w:val="restart"/>
            <w:vAlign w:val="center"/>
          </w:tcPr>
          <w:p w14:paraId="7384E69E">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建设工程建设单位</w:t>
            </w:r>
          </w:p>
        </w:tc>
        <w:tc>
          <w:tcPr>
            <w:tcW w:w="4962" w:type="dxa"/>
            <w:vMerge w:val="restart"/>
            <w:vAlign w:val="center"/>
          </w:tcPr>
          <w:p w14:paraId="0CA0724C">
            <w:pPr>
              <w:keepNext w:val="0"/>
              <w:keepLines w:val="0"/>
              <w:pageBreakBefore w:val="0"/>
              <w:widowControl/>
              <w:kinsoku/>
              <w:wordWrap/>
              <w:overflowPunct/>
              <w:topLinePunct w:val="0"/>
              <w:autoSpaceDE w:val="0"/>
              <w:autoSpaceDN w:val="0"/>
              <w:bidi w:val="0"/>
              <w:adjustRightInd/>
              <w:snapToGrid/>
              <w:spacing w:line="270" w:lineRule="exact"/>
              <w:jc w:val="left"/>
              <w:textAlignment w:val="auto"/>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w:t>
            </w:r>
            <w:r>
              <w:rPr>
                <w:rFonts w:hint="eastAsia" w:ascii="Times New Roman" w:hAnsi="Times New Roman" w:eastAsia="仿宋_GB2312" w:cs="方正仿宋_GBK"/>
                <w:color w:val="auto"/>
                <w:szCs w:val="21"/>
                <w:lang w:val="en-US" w:eastAsia="zh-CN"/>
              </w:rPr>
              <w:t>法律</w:t>
            </w:r>
            <w:r>
              <w:rPr>
                <w:rFonts w:hint="eastAsia" w:ascii="Times New Roman" w:hAnsi="Times New Roman" w:eastAsia="仿宋_GB2312" w:cs="方正仿宋_GBK"/>
                <w:color w:val="auto"/>
                <w:szCs w:val="21"/>
              </w:rPr>
              <w:t>】《中华人民共和国消防法》</w:t>
            </w:r>
          </w:p>
          <w:p w14:paraId="5FFA16FC">
            <w:pPr>
              <w:keepNext w:val="0"/>
              <w:keepLines w:val="0"/>
              <w:pageBreakBefore w:val="0"/>
              <w:widowControl/>
              <w:kinsoku/>
              <w:wordWrap/>
              <w:overflowPunct/>
              <w:topLinePunct w:val="0"/>
              <w:autoSpaceDE w:val="0"/>
              <w:autoSpaceDN w:val="0"/>
              <w:bidi w:val="0"/>
              <w:adjustRightInd/>
              <w:snapToGrid/>
              <w:spacing w:line="270" w:lineRule="exact"/>
              <w:ind w:firstLine="420" w:firstLineChars="200"/>
              <w:jc w:val="left"/>
              <w:textAlignment w:val="auto"/>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第十三条　国务院住房和城乡建设主管部门规定应当申请消防验收的建设工程竣工，建设单位应当向住房和城乡建设主管部门申请消防验收。</w:t>
            </w:r>
          </w:p>
          <w:p w14:paraId="70D3953D">
            <w:pPr>
              <w:keepNext w:val="0"/>
              <w:keepLines w:val="0"/>
              <w:pageBreakBefore w:val="0"/>
              <w:widowControl/>
              <w:kinsoku/>
              <w:wordWrap/>
              <w:overflowPunct/>
              <w:topLinePunct w:val="0"/>
              <w:autoSpaceDE w:val="0"/>
              <w:autoSpaceDN w:val="0"/>
              <w:bidi w:val="0"/>
              <w:adjustRightInd/>
              <w:snapToGrid/>
              <w:spacing w:line="270" w:lineRule="exact"/>
              <w:ind w:firstLine="420" w:firstLineChars="200"/>
              <w:jc w:val="left"/>
              <w:textAlignment w:val="auto"/>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前款规定以外的其他建设工程，建设单位在验收后应当报住房和城乡建设主管部门备案，住房和城乡建设主管部门应当进行抽查。</w:t>
            </w:r>
          </w:p>
          <w:p w14:paraId="7D56AE38">
            <w:pPr>
              <w:keepNext w:val="0"/>
              <w:keepLines w:val="0"/>
              <w:pageBreakBefore w:val="0"/>
              <w:widowControl/>
              <w:kinsoku/>
              <w:wordWrap/>
              <w:overflowPunct/>
              <w:topLinePunct w:val="0"/>
              <w:autoSpaceDE w:val="0"/>
              <w:autoSpaceDN w:val="0"/>
              <w:bidi w:val="0"/>
              <w:adjustRightInd/>
              <w:snapToGrid/>
              <w:spacing w:line="270" w:lineRule="exact"/>
              <w:jc w:val="left"/>
              <w:textAlignment w:val="auto"/>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　　依法应当进行消防验收的建设工程，未经消防验收或者消防验收不合格的，禁止投入使用；其他建设工程经依法抽查不合格的，应当停止使用。</w:t>
            </w:r>
          </w:p>
          <w:p w14:paraId="0759C988">
            <w:pPr>
              <w:keepNext w:val="0"/>
              <w:keepLines w:val="0"/>
              <w:pageBreakBefore w:val="0"/>
              <w:widowControl/>
              <w:kinsoku/>
              <w:wordWrap/>
              <w:overflowPunct/>
              <w:topLinePunct w:val="0"/>
              <w:autoSpaceDE w:val="0"/>
              <w:autoSpaceDN w:val="0"/>
              <w:bidi w:val="0"/>
              <w:adjustRightInd/>
              <w:snapToGrid/>
              <w:spacing w:line="270" w:lineRule="exact"/>
              <w:ind w:firstLine="420" w:firstLineChars="200"/>
              <w:jc w:val="left"/>
              <w:textAlignment w:val="auto"/>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第十四条　建设工程消防设计审查、消防验收、备案和抽查的具体办法，由国务院住房和城乡建设主管部门规定。</w:t>
            </w:r>
          </w:p>
        </w:tc>
        <w:tc>
          <w:tcPr>
            <w:tcW w:w="992" w:type="dxa"/>
            <w:vMerge w:val="restart"/>
            <w:vAlign w:val="center"/>
          </w:tcPr>
          <w:p w14:paraId="1003ECE5">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现场检查、书面检查</w:t>
            </w:r>
          </w:p>
        </w:tc>
        <w:tc>
          <w:tcPr>
            <w:tcW w:w="1139" w:type="dxa"/>
            <w:vMerge w:val="restart"/>
            <w:vAlign w:val="center"/>
          </w:tcPr>
          <w:p w14:paraId="4368D99D">
            <w:pPr>
              <w:widowControl/>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双随机</w:t>
            </w:r>
          </w:p>
        </w:tc>
        <w:tc>
          <w:tcPr>
            <w:tcW w:w="1491" w:type="dxa"/>
            <w:vAlign w:val="center"/>
          </w:tcPr>
          <w:p w14:paraId="0E7622E2">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320217765000</w:t>
            </w:r>
          </w:p>
        </w:tc>
        <w:tc>
          <w:tcPr>
            <w:tcW w:w="1481" w:type="dxa"/>
            <w:vAlign w:val="center"/>
          </w:tcPr>
          <w:p w14:paraId="15578B6F">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对建设单位未依照规定进行竣工消防验收备案的处罚</w:t>
            </w:r>
          </w:p>
        </w:tc>
        <w:tc>
          <w:tcPr>
            <w:tcW w:w="622" w:type="dxa"/>
            <w:vAlign w:val="center"/>
          </w:tcPr>
          <w:p w14:paraId="34FB4B15">
            <w:pPr>
              <w:spacing w:line="280" w:lineRule="exact"/>
              <w:jc w:val="center"/>
              <w:rPr>
                <w:rFonts w:ascii="Times New Roman" w:hAnsi="Times New Roman" w:eastAsia="仿宋_GB2312" w:cs="方正仿宋_GBK"/>
                <w:color w:val="auto"/>
                <w:kern w:val="0"/>
                <w:szCs w:val="21"/>
              </w:rPr>
            </w:pPr>
          </w:p>
        </w:tc>
      </w:tr>
      <w:tr w14:paraId="21D20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36" w:type="dxa"/>
            <w:vMerge w:val="continue"/>
            <w:vAlign w:val="center"/>
          </w:tcPr>
          <w:p w14:paraId="64E28CD8">
            <w:pPr>
              <w:widowControl/>
              <w:autoSpaceDE w:val="0"/>
              <w:autoSpaceDN w:val="0"/>
              <w:spacing w:line="280" w:lineRule="exact"/>
              <w:jc w:val="left"/>
              <w:rPr>
                <w:rFonts w:ascii="Times New Roman" w:hAnsi="Times New Roman" w:eastAsia="仿宋_GB2312" w:cs="方正仿宋_GBK"/>
                <w:color w:val="auto"/>
                <w:szCs w:val="21"/>
              </w:rPr>
            </w:pPr>
          </w:p>
        </w:tc>
        <w:tc>
          <w:tcPr>
            <w:tcW w:w="1324" w:type="dxa"/>
            <w:vMerge w:val="continue"/>
            <w:vAlign w:val="center"/>
          </w:tcPr>
          <w:p w14:paraId="2C877567">
            <w:pPr>
              <w:widowControl/>
              <w:autoSpaceDE w:val="0"/>
              <w:autoSpaceDN w:val="0"/>
              <w:spacing w:line="280" w:lineRule="exact"/>
              <w:jc w:val="left"/>
              <w:rPr>
                <w:rFonts w:ascii="Times New Roman" w:hAnsi="Times New Roman" w:eastAsia="仿宋_GB2312" w:cs="方正仿宋_GBK"/>
                <w:color w:val="auto"/>
                <w:szCs w:val="21"/>
              </w:rPr>
            </w:pPr>
          </w:p>
        </w:tc>
        <w:tc>
          <w:tcPr>
            <w:tcW w:w="794" w:type="dxa"/>
            <w:vMerge w:val="continue"/>
            <w:vAlign w:val="center"/>
          </w:tcPr>
          <w:p w14:paraId="34F54215">
            <w:pPr>
              <w:widowControl/>
              <w:autoSpaceDE w:val="0"/>
              <w:autoSpaceDN w:val="0"/>
              <w:spacing w:line="280" w:lineRule="exact"/>
              <w:jc w:val="left"/>
              <w:rPr>
                <w:rFonts w:ascii="Times New Roman" w:hAnsi="Times New Roman" w:eastAsia="仿宋_GB2312" w:cs="方正仿宋_GBK"/>
                <w:color w:val="auto"/>
                <w:szCs w:val="21"/>
              </w:rPr>
            </w:pPr>
          </w:p>
        </w:tc>
        <w:tc>
          <w:tcPr>
            <w:tcW w:w="872" w:type="dxa"/>
            <w:vMerge w:val="continue"/>
            <w:vAlign w:val="center"/>
          </w:tcPr>
          <w:p w14:paraId="092A1956">
            <w:pPr>
              <w:widowControl/>
              <w:autoSpaceDE w:val="0"/>
              <w:autoSpaceDN w:val="0"/>
              <w:spacing w:line="280" w:lineRule="exact"/>
              <w:jc w:val="left"/>
              <w:rPr>
                <w:rFonts w:ascii="Times New Roman" w:hAnsi="Times New Roman" w:eastAsia="仿宋_GB2312" w:cs="方正仿宋_GBK"/>
                <w:color w:val="auto"/>
                <w:szCs w:val="21"/>
              </w:rPr>
            </w:pPr>
          </w:p>
        </w:tc>
        <w:tc>
          <w:tcPr>
            <w:tcW w:w="869" w:type="dxa"/>
            <w:vMerge w:val="continue"/>
            <w:vAlign w:val="center"/>
          </w:tcPr>
          <w:p w14:paraId="1E0D42EC">
            <w:pPr>
              <w:widowControl/>
              <w:autoSpaceDE w:val="0"/>
              <w:autoSpaceDN w:val="0"/>
              <w:spacing w:line="280" w:lineRule="exact"/>
              <w:jc w:val="left"/>
              <w:rPr>
                <w:rFonts w:ascii="Times New Roman" w:hAnsi="Times New Roman" w:eastAsia="仿宋_GB2312" w:cs="方正仿宋_GBK"/>
                <w:color w:val="auto"/>
                <w:szCs w:val="21"/>
              </w:rPr>
            </w:pPr>
          </w:p>
        </w:tc>
        <w:tc>
          <w:tcPr>
            <w:tcW w:w="4962" w:type="dxa"/>
            <w:vMerge w:val="continue"/>
            <w:vAlign w:val="center"/>
          </w:tcPr>
          <w:p w14:paraId="3823A660">
            <w:pPr>
              <w:widowControl/>
              <w:autoSpaceDE w:val="0"/>
              <w:autoSpaceDN w:val="0"/>
              <w:spacing w:line="280" w:lineRule="exact"/>
              <w:jc w:val="left"/>
              <w:rPr>
                <w:rFonts w:ascii="Times New Roman" w:hAnsi="Times New Roman" w:eastAsia="仿宋_GB2312" w:cs="方正仿宋_GBK"/>
                <w:color w:val="auto"/>
                <w:szCs w:val="21"/>
              </w:rPr>
            </w:pPr>
          </w:p>
        </w:tc>
        <w:tc>
          <w:tcPr>
            <w:tcW w:w="992" w:type="dxa"/>
            <w:vMerge w:val="continue"/>
            <w:vAlign w:val="center"/>
          </w:tcPr>
          <w:p w14:paraId="3C9446CE">
            <w:pPr>
              <w:widowControl/>
              <w:autoSpaceDE w:val="0"/>
              <w:autoSpaceDN w:val="0"/>
              <w:spacing w:line="280" w:lineRule="exact"/>
              <w:jc w:val="left"/>
              <w:rPr>
                <w:rFonts w:ascii="Times New Roman" w:hAnsi="Times New Roman" w:eastAsia="仿宋_GB2312" w:cs="方正仿宋_GBK"/>
                <w:color w:val="auto"/>
                <w:szCs w:val="21"/>
              </w:rPr>
            </w:pPr>
          </w:p>
        </w:tc>
        <w:tc>
          <w:tcPr>
            <w:tcW w:w="1139" w:type="dxa"/>
            <w:vMerge w:val="continue"/>
            <w:vAlign w:val="center"/>
          </w:tcPr>
          <w:p w14:paraId="4AC0C07A">
            <w:pPr>
              <w:widowControl/>
              <w:autoSpaceDE w:val="0"/>
              <w:autoSpaceDN w:val="0"/>
              <w:spacing w:line="280" w:lineRule="exact"/>
              <w:jc w:val="left"/>
              <w:rPr>
                <w:rFonts w:ascii="Times New Roman" w:hAnsi="Times New Roman" w:eastAsia="仿宋_GB2312" w:cs="方正仿宋_GBK"/>
                <w:color w:val="auto"/>
                <w:szCs w:val="21"/>
              </w:rPr>
            </w:pPr>
          </w:p>
        </w:tc>
        <w:tc>
          <w:tcPr>
            <w:tcW w:w="1491" w:type="dxa"/>
            <w:vAlign w:val="center"/>
          </w:tcPr>
          <w:p w14:paraId="29DAF808">
            <w:pPr>
              <w:widowControl/>
              <w:spacing w:line="280" w:lineRule="exact"/>
              <w:jc w:val="center"/>
              <w:textAlignment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kern w:val="0"/>
                <w:szCs w:val="21"/>
                <w:lang w:bidi="ar"/>
              </w:rPr>
              <w:t>320217764000</w:t>
            </w:r>
          </w:p>
        </w:tc>
        <w:tc>
          <w:tcPr>
            <w:tcW w:w="1481" w:type="dxa"/>
            <w:vAlign w:val="center"/>
          </w:tcPr>
          <w:p w14:paraId="3983845B">
            <w:pPr>
              <w:widowControl/>
              <w:spacing w:line="280" w:lineRule="exact"/>
              <w:jc w:val="left"/>
              <w:textAlignment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kern w:val="0"/>
                <w:szCs w:val="21"/>
                <w:lang w:bidi="ar"/>
              </w:rPr>
              <w:t>对建设工程验收后经依法抽查不合格不停止使用的处罚</w:t>
            </w:r>
          </w:p>
        </w:tc>
        <w:tc>
          <w:tcPr>
            <w:tcW w:w="622" w:type="dxa"/>
            <w:vAlign w:val="center"/>
          </w:tcPr>
          <w:p w14:paraId="68187569">
            <w:pPr>
              <w:spacing w:line="280" w:lineRule="exact"/>
              <w:jc w:val="center"/>
              <w:rPr>
                <w:rFonts w:ascii="Times New Roman" w:hAnsi="Times New Roman" w:eastAsia="仿宋_GB2312" w:cs="方正仿宋_GBK"/>
                <w:color w:val="auto"/>
                <w:kern w:val="0"/>
                <w:szCs w:val="21"/>
              </w:rPr>
            </w:pPr>
          </w:p>
        </w:tc>
      </w:tr>
      <w:tr w14:paraId="3B0DCC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0" w:hRule="atLeast"/>
          <w:jc w:val="center"/>
        </w:trPr>
        <w:tc>
          <w:tcPr>
            <w:tcW w:w="536" w:type="dxa"/>
            <w:vAlign w:val="center"/>
          </w:tcPr>
          <w:p w14:paraId="7888591F">
            <w:pPr>
              <w:widowControl/>
              <w:autoSpaceDE w:val="0"/>
              <w:autoSpaceDN w:val="0"/>
              <w:spacing w:line="280" w:lineRule="exact"/>
              <w:jc w:val="center"/>
              <w:rPr>
                <w:rFonts w:hint="default" w:ascii="Times New Roman" w:hAnsi="Times New Roman" w:eastAsia="仿宋_GB2312" w:cs="方正仿宋_GBK"/>
                <w:color w:val="auto"/>
                <w:szCs w:val="21"/>
                <w:highlight w:val="none"/>
                <w:lang w:val="en-US" w:eastAsia="zh-CN"/>
              </w:rPr>
            </w:pPr>
            <w:r>
              <w:rPr>
                <w:rFonts w:hint="eastAsia" w:ascii="Times New Roman" w:hAnsi="Times New Roman" w:eastAsia="仿宋_GB2312" w:cs="方正仿宋_GBK"/>
                <w:color w:val="auto"/>
                <w:szCs w:val="21"/>
                <w:highlight w:val="none"/>
                <w:lang w:val="en-US" w:eastAsia="zh-CN"/>
              </w:rPr>
              <w:t>12</w:t>
            </w:r>
          </w:p>
        </w:tc>
        <w:tc>
          <w:tcPr>
            <w:tcW w:w="1324" w:type="dxa"/>
            <w:vAlign w:val="center"/>
          </w:tcPr>
          <w:p w14:paraId="273F8CC4">
            <w:pPr>
              <w:widowControl/>
              <w:autoSpaceDE w:val="0"/>
              <w:autoSpaceDN w:val="0"/>
              <w:spacing w:line="280" w:lineRule="exact"/>
              <w:jc w:val="left"/>
              <w:rPr>
                <w:rFonts w:ascii="Times New Roman" w:hAnsi="Times New Roman" w:eastAsia="仿宋_GB2312" w:cs="方正仿宋_GBK"/>
                <w:color w:val="auto"/>
                <w:szCs w:val="21"/>
                <w:highlight w:val="none"/>
              </w:rPr>
            </w:pPr>
            <w:r>
              <w:rPr>
                <w:rFonts w:hint="eastAsia" w:ascii="Times New Roman" w:hAnsi="Times New Roman" w:eastAsia="仿宋_GB2312" w:cs="方正仿宋_GBK"/>
                <w:color w:val="auto"/>
                <w:szCs w:val="21"/>
                <w:highlight w:val="none"/>
              </w:rPr>
              <w:t>预拌混凝土企业扬尘环保检查</w:t>
            </w:r>
          </w:p>
        </w:tc>
        <w:tc>
          <w:tcPr>
            <w:tcW w:w="794" w:type="dxa"/>
            <w:vAlign w:val="center"/>
          </w:tcPr>
          <w:p w14:paraId="60C0819D">
            <w:pPr>
              <w:widowControl/>
              <w:autoSpaceDE w:val="0"/>
              <w:autoSpaceDN w:val="0"/>
              <w:spacing w:line="280" w:lineRule="exact"/>
              <w:jc w:val="center"/>
              <w:rPr>
                <w:rFonts w:ascii="Times New Roman" w:hAnsi="Times New Roman" w:eastAsia="仿宋_GB2312" w:cs="方正仿宋_GBK"/>
                <w:color w:val="auto"/>
                <w:szCs w:val="21"/>
                <w:highlight w:val="none"/>
              </w:rPr>
            </w:pPr>
            <w:r>
              <w:rPr>
                <w:rFonts w:hint="eastAsia" w:ascii="Times New Roman" w:hAnsi="Times New Roman" w:eastAsia="仿宋_GB2312" w:cs="方正仿宋_GBK"/>
                <w:color w:val="auto"/>
                <w:szCs w:val="21"/>
                <w:highlight w:val="none"/>
              </w:rPr>
              <w:t>相城区扬尘管控办</w:t>
            </w:r>
          </w:p>
        </w:tc>
        <w:tc>
          <w:tcPr>
            <w:tcW w:w="872" w:type="dxa"/>
            <w:vAlign w:val="center"/>
          </w:tcPr>
          <w:p w14:paraId="2274E619">
            <w:pPr>
              <w:widowControl/>
              <w:autoSpaceDE w:val="0"/>
              <w:autoSpaceDN w:val="0"/>
              <w:spacing w:line="280" w:lineRule="exact"/>
              <w:jc w:val="center"/>
              <w:rPr>
                <w:rFonts w:hint="eastAsia" w:ascii="Times New Roman" w:hAnsi="Times New Roman" w:eastAsia="仿宋_GB2312" w:cs="方正仿宋_GBK"/>
                <w:color w:val="auto"/>
                <w:szCs w:val="21"/>
                <w:highlight w:val="none"/>
                <w:lang w:eastAsia="zh-CN"/>
              </w:rPr>
            </w:pPr>
            <w:r>
              <w:rPr>
                <w:rFonts w:hint="eastAsia" w:ascii="Times New Roman" w:hAnsi="Times New Roman" w:eastAsia="仿宋_GB2312" w:cs="方正仿宋_GBK"/>
                <w:color w:val="auto"/>
                <w:szCs w:val="21"/>
                <w:highlight w:val="none"/>
              </w:rPr>
              <w:t>相城区建设工程质量安全监督中心</w:t>
            </w:r>
          </w:p>
        </w:tc>
        <w:tc>
          <w:tcPr>
            <w:tcW w:w="869" w:type="dxa"/>
            <w:vAlign w:val="center"/>
          </w:tcPr>
          <w:p w14:paraId="2BC619DA">
            <w:pPr>
              <w:widowControl/>
              <w:autoSpaceDE w:val="0"/>
              <w:autoSpaceDN w:val="0"/>
              <w:spacing w:line="280" w:lineRule="exact"/>
              <w:jc w:val="left"/>
              <w:rPr>
                <w:rFonts w:ascii="Times New Roman" w:hAnsi="Times New Roman" w:eastAsia="仿宋_GB2312" w:cs="方正仿宋_GBK"/>
                <w:color w:val="auto"/>
                <w:szCs w:val="21"/>
                <w:highlight w:val="none"/>
              </w:rPr>
            </w:pPr>
            <w:r>
              <w:rPr>
                <w:rFonts w:hint="eastAsia" w:ascii="Times New Roman" w:hAnsi="Times New Roman" w:eastAsia="仿宋_GB2312" w:cs="方正仿宋_GBK"/>
                <w:color w:val="auto"/>
                <w:szCs w:val="21"/>
                <w:highlight w:val="none"/>
              </w:rPr>
              <w:t>预拌混凝土行业</w:t>
            </w:r>
          </w:p>
        </w:tc>
        <w:tc>
          <w:tcPr>
            <w:tcW w:w="4962" w:type="dxa"/>
            <w:vAlign w:val="center"/>
          </w:tcPr>
          <w:p w14:paraId="6F247680">
            <w:pPr>
              <w:keepNext w:val="0"/>
              <w:keepLines w:val="0"/>
              <w:pageBreakBefore w:val="0"/>
              <w:widowControl/>
              <w:kinsoku/>
              <w:wordWrap/>
              <w:overflowPunct/>
              <w:topLinePunct w:val="0"/>
              <w:autoSpaceDE w:val="0"/>
              <w:autoSpaceDN w:val="0"/>
              <w:bidi w:val="0"/>
              <w:adjustRightInd/>
              <w:snapToGrid/>
              <w:spacing w:line="270" w:lineRule="exact"/>
              <w:jc w:val="left"/>
              <w:textAlignment w:val="auto"/>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【文件】《关于加强我市预拌混凝土企业扬尘环保监管工作的通知》（扬尘管控办〔2022〕21号）：</w:t>
            </w:r>
          </w:p>
          <w:p w14:paraId="0854BD2C">
            <w:pPr>
              <w:keepNext w:val="0"/>
              <w:keepLines w:val="0"/>
              <w:pageBreakBefore w:val="0"/>
              <w:widowControl/>
              <w:kinsoku/>
              <w:wordWrap/>
              <w:overflowPunct/>
              <w:topLinePunct w:val="0"/>
              <w:autoSpaceDE w:val="0"/>
              <w:autoSpaceDN w:val="0"/>
              <w:bidi w:val="0"/>
              <w:adjustRightInd/>
              <w:snapToGrid/>
              <w:spacing w:line="270" w:lineRule="exact"/>
              <w:ind w:firstLine="420" w:firstLineChars="200"/>
              <w:jc w:val="left"/>
              <w:textAlignment w:val="auto"/>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一、明确责任分工。各县级市（区）人民政府（管委会）应根据本地区实际情况，建立住建、工信（散装水泥行政主管部门）、交通、水务、城管、生态环境等部门和相关乡镇（街道）政府分工合作的联动工作机制。各部门应相互配合，各司其职，在各自领域按相关法律法规，加强预拌混凝土企业扬尘监管。重点地区应建立工作专班，细化工作职责、建立协同机制，扎实推进预拌混凝土企业扬尘整治工作。</w:t>
            </w:r>
          </w:p>
        </w:tc>
        <w:tc>
          <w:tcPr>
            <w:tcW w:w="992" w:type="dxa"/>
            <w:vAlign w:val="center"/>
          </w:tcPr>
          <w:p w14:paraId="2C0CC746">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现场检查、书面检查</w:t>
            </w:r>
          </w:p>
        </w:tc>
        <w:tc>
          <w:tcPr>
            <w:tcW w:w="1139" w:type="dxa"/>
            <w:vAlign w:val="center"/>
          </w:tcPr>
          <w:p w14:paraId="385C4492">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双随机+重点检查</w:t>
            </w:r>
          </w:p>
        </w:tc>
        <w:tc>
          <w:tcPr>
            <w:tcW w:w="1491" w:type="dxa"/>
            <w:vAlign w:val="center"/>
          </w:tcPr>
          <w:p w14:paraId="4D4B58C0">
            <w:pPr>
              <w:widowControl/>
              <w:autoSpaceDE w:val="0"/>
              <w:autoSpaceDN w:val="0"/>
              <w:spacing w:line="280" w:lineRule="exact"/>
              <w:jc w:val="left"/>
              <w:rPr>
                <w:rFonts w:ascii="Times New Roman" w:hAnsi="Times New Roman" w:eastAsia="仿宋_GB2312" w:cs="方正仿宋_GBK"/>
                <w:color w:val="auto"/>
                <w:szCs w:val="21"/>
              </w:rPr>
            </w:pPr>
          </w:p>
        </w:tc>
        <w:tc>
          <w:tcPr>
            <w:tcW w:w="1481" w:type="dxa"/>
            <w:vAlign w:val="center"/>
          </w:tcPr>
          <w:p w14:paraId="66B3B59B">
            <w:pPr>
              <w:widowControl/>
              <w:autoSpaceDE w:val="0"/>
              <w:autoSpaceDN w:val="0"/>
              <w:spacing w:line="280" w:lineRule="exact"/>
              <w:jc w:val="left"/>
              <w:rPr>
                <w:rFonts w:ascii="Times New Roman" w:hAnsi="Times New Roman" w:eastAsia="仿宋_GB2312" w:cs="方正仿宋_GBK"/>
                <w:color w:val="auto"/>
                <w:szCs w:val="21"/>
              </w:rPr>
            </w:pPr>
          </w:p>
        </w:tc>
        <w:tc>
          <w:tcPr>
            <w:tcW w:w="622" w:type="dxa"/>
            <w:vAlign w:val="center"/>
          </w:tcPr>
          <w:p w14:paraId="5E178AFE">
            <w:pPr>
              <w:widowControl/>
              <w:autoSpaceDE w:val="0"/>
              <w:autoSpaceDN w:val="0"/>
              <w:spacing w:line="280" w:lineRule="exact"/>
              <w:jc w:val="left"/>
              <w:rPr>
                <w:rFonts w:ascii="Times New Roman" w:hAnsi="Times New Roman" w:eastAsia="仿宋_GB2312" w:cs="方正仿宋_GBK"/>
                <w:color w:val="auto"/>
                <w:szCs w:val="21"/>
              </w:rPr>
            </w:pPr>
          </w:p>
        </w:tc>
      </w:tr>
      <w:tr w14:paraId="20A37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90" w:hRule="atLeast"/>
          <w:jc w:val="center"/>
        </w:trPr>
        <w:tc>
          <w:tcPr>
            <w:tcW w:w="536" w:type="dxa"/>
            <w:vAlign w:val="center"/>
          </w:tcPr>
          <w:p w14:paraId="4995856E">
            <w:pPr>
              <w:widowControl/>
              <w:autoSpaceDE w:val="0"/>
              <w:autoSpaceDN w:val="0"/>
              <w:spacing w:line="280" w:lineRule="exact"/>
              <w:jc w:val="center"/>
              <w:rPr>
                <w:rFonts w:hint="default" w:ascii="Times New Roman" w:hAnsi="Times New Roman" w:eastAsia="仿宋_GB2312" w:cs="方正仿宋_GBK"/>
                <w:color w:val="auto"/>
                <w:szCs w:val="21"/>
                <w:lang w:val="en-US" w:eastAsia="zh-CN"/>
              </w:rPr>
            </w:pPr>
            <w:r>
              <w:rPr>
                <w:rFonts w:hint="eastAsia" w:ascii="Times New Roman" w:hAnsi="Times New Roman" w:eastAsia="仿宋_GB2312" w:cs="方正仿宋_GBK"/>
                <w:color w:val="auto"/>
                <w:szCs w:val="21"/>
                <w:lang w:val="en-US" w:eastAsia="zh-CN"/>
              </w:rPr>
              <w:t>13</w:t>
            </w:r>
          </w:p>
        </w:tc>
        <w:tc>
          <w:tcPr>
            <w:tcW w:w="1324" w:type="dxa"/>
            <w:vAlign w:val="center"/>
          </w:tcPr>
          <w:p w14:paraId="1DB212EB">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预拌混凝土企业违规海砂专项检查</w:t>
            </w:r>
          </w:p>
        </w:tc>
        <w:tc>
          <w:tcPr>
            <w:tcW w:w="794" w:type="dxa"/>
            <w:vAlign w:val="center"/>
          </w:tcPr>
          <w:p w14:paraId="04230920">
            <w:pPr>
              <w:widowControl/>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苏州市相城区住房和城乡建设局</w:t>
            </w:r>
          </w:p>
        </w:tc>
        <w:tc>
          <w:tcPr>
            <w:tcW w:w="872" w:type="dxa"/>
            <w:vAlign w:val="center"/>
          </w:tcPr>
          <w:p w14:paraId="643167D1">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相城区建设工程质量安全监督中心</w:t>
            </w:r>
          </w:p>
        </w:tc>
        <w:tc>
          <w:tcPr>
            <w:tcW w:w="869" w:type="dxa"/>
            <w:vAlign w:val="center"/>
          </w:tcPr>
          <w:p w14:paraId="43928EEB">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预拌混凝土行业</w:t>
            </w:r>
          </w:p>
        </w:tc>
        <w:tc>
          <w:tcPr>
            <w:tcW w:w="4962" w:type="dxa"/>
            <w:vAlign w:val="center"/>
          </w:tcPr>
          <w:p w14:paraId="5C1873B7">
            <w:pPr>
              <w:keepNext w:val="0"/>
              <w:keepLines w:val="0"/>
              <w:pageBreakBefore w:val="0"/>
              <w:widowControl/>
              <w:kinsoku/>
              <w:wordWrap/>
              <w:overflowPunct/>
              <w:topLinePunct w:val="0"/>
              <w:autoSpaceDE w:val="0"/>
              <w:autoSpaceDN w:val="0"/>
              <w:bidi w:val="0"/>
              <w:adjustRightInd/>
              <w:snapToGrid/>
              <w:spacing w:line="270" w:lineRule="exact"/>
              <w:jc w:val="both"/>
              <w:textAlignment w:val="auto"/>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【文件】省住建厅等部门《关于建立治理违规海砂联动工作机制的实施意见》</w:t>
            </w:r>
          </w:p>
          <w:p w14:paraId="6E0330DC">
            <w:pPr>
              <w:keepNext w:val="0"/>
              <w:keepLines w:val="0"/>
              <w:pageBreakBefore w:val="0"/>
              <w:widowControl/>
              <w:kinsoku/>
              <w:wordWrap/>
              <w:overflowPunct/>
              <w:topLinePunct w:val="0"/>
              <w:autoSpaceDE w:val="0"/>
              <w:autoSpaceDN w:val="0"/>
              <w:bidi w:val="0"/>
              <w:adjustRightInd/>
              <w:snapToGrid/>
              <w:spacing w:line="270" w:lineRule="exact"/>
              <w:ind w:firstLine="420" w:firstLineChars="200"/>
              <w:jc w:val="both"/>
              <w:textAlignment w:val="auto"/>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一、工作职责</w:t>
            </w:r>
          </w:p>
          <w:p w14:paraId="477669FC">
            <w:pPr>
              <w:keepNext w:val="0"/>
              <w:keepLines w:val="0"/>
              <w:pageBreakBefore w:val="0"/>
              <w:widowControl/>
              <w:kinsoku/>
              <w:wordWrap/>
              <w:overflowPunct/>
              <w:topLinePunct w:val="0"/>
              <w:autoSpaceDE w:val="0"/>
              <w:autoSpaceDN w:val="0"/>
              <w:bidi w:val="0"/>
              <w:adjustRightInd/>
              <w:snapToGrid/>
              <w:spacing w:line="270" w:lineRule="exact"/>
              <w:ind w:firstLine="420" w:firstLineChars="200"/>
              <w:jc w:val="both"/>
              <w:textAlignment w:val="auto"/>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住房城乡建设部门负责加强对从事房屋建筑和市政基础设施工程预拌混凝土生产活动的监督检查，依法查处预拌混凝土违法违规行为，以及违规海砂用于房屋建筑和市政基础设施工程的行为。</w:t>
            </w:r>
          </w:p>
        </w:tc>
        <w:tc>
          <w:tcPr>
            <w:tcW w:w="992" w:type="dxa"/>
            <w:vAlign w:val="center"/>
          </w:tcPr>
          <w:p w14:paraId="26CB1872">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现场检查、书面检查</w:t>
            </w:r>
          </w:p>
        </w:tc>
        <w:tc>
          <w:tcPr>
            <w:tcW w:w="1139" w:type="dxa"/>
            <w:vAlign w:val="center"/>
          </w:tcPr>
          <w:p w14:paraId="47571811">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双随机+重点检查</w:t>
            </w:r>
          </w:p>
        </w:tc>
        <w:tc>
          <w:tcPr>
            <w:tcW w:w="1491" w:type="dxa"/>
            <w:vAlign w:val="center"/>
          </w:tcPr>
          <w:p w14:paraId="419E0139">
            <w:pPr>
              <w:widowControl/>
              <w:autoSpaceDE w:val="0"/>
              <w:autoSpaceDN w:val="0"/>
              <w:spacing w:line="280" w:lineRule="exact"/>
              <w:jc w:val="left"/>
              <w:rPr>
                <w:rFonts w:ascii="Times New Roman" w:hAnsi="Times New Roman" w:eastAsia="仿宋_GB2312" w:cs="方正仿宋_GBK"/>
                <w:color w:val="auto"/>
                <w:szCs w:val="21"/>
              </w:rPr>
            </w:pPr>
          </w:p>
        </w:tc>
        <w:tc>
          <w:tcPr>
            <w:tcW w:w="1481" w:type="dxa"/>
            <w:vAlign w:val="center"/>
          </w:tcPr>
          <w:p w14:paraId="10D96E97">
            <w:pPr>
              <w:widowControl/>
              <w:autoSpaceDE w:val="0"/>
              <w:autoSpaceDN w:val="0"/>
              <w:spacing w:line="280" w:lineRule="exact"/>
              <w:jc w:val="left"/>
              <w:rPr>
                <w:rFonts w:ascii="Times New Roman" w:hAnsi="Times New Roman" w:eastAsia="仿宋_GB2312" w:cs="方正仿宋_GBK"/>
                <w:color w:val="auto"/>
                <w:szCs w:val="21"/>
              </w:rPr>
            </w:pPr>
          </w:p>
        </w:tc>
        <w:tc>
          <w:tcPr>
            <w:tcW w:w="622" w:type="dxa"/>
            <w:vAlign w:val="center"/>
          </w:tcPr>
          <w:p w14:paraId="0E4FA13F">
            <w:pPr>
              <w:widowControl/>
              <w:autoSpaceDE w:val="0"/>
              <w:autoSpaceDN w:val="0"/>
              <w:spacing w:line="280" w:lineRule="exact"/>
              <w:jc w:val="left"/>
              <w:rPr>
                <w:rFonts w:ascii="Times New Roman" w:hAnsi="Times New Roman" w:eastAsia="仿宋_GB2312" w:cs="方正仿宋_GBK"/>
                <w:color w:val="auto"/>
                <w:szCs w:val="21"/>
              </w:rPr>
            </w:pPr>
          </w:p>
        </w:tc>
      </w:tr>
      <w:tr w14:paraId="0FEFF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0" w:hRule="atLeast"/>
          <w:jc w:val="center"/>
        </w:trPr>
        <w:tc>
          <w:tcPr>
            <w:tcW w:w="536" w:type="dxa"/>
            <w:vAlign w:val="center"/>
          </w:tcPr>
          <w:p w14:paraId="3A0EDE75">
            <w:pPr>
              <w:widowControl/>
              <w:autoSpaceDE w:val="0"/>
              <w:autoSpaceDN w:val="0"/>
              <w:spacing w:line="280" w:lineRule="exact"/>
              <w:jc w:val="left"/>
              <w:rPr>
                <w:rFonts w:hint="default" w:ascii="Times New Roman" w:hAnsi="Times New Roman" w:eastAsia="仿宋_GB2312" w:cs="方正仿宋_GBK"/>
                <w:color w:val="auto"/>
                <w:szCs w:val="21"/>
                <w:lang w:val="en-US" w:eastAsia="zh-CN"/>
              </w:rPr>
            </w:pPr>
            <w:r>
              <w:rPr>
                <w:rFonts w:hint="eastAsia" w:ascii="Times New Roman" w:hAnsi="Times New Roman" w:eastAsia="仿宋_GB2312" w:cs="方正仿宋_GBK"/>
                <w:color w:val="auto"/>
                <w:szCs w:val="21"/>
                <w:lang w:val="en-US" w:eastAsia="zh-CN"/>
              </w:rPr>
              <w:t>14</w:t>
            </w:r>
          </w:p>
        </w:tc>
        <w:tc>
          <w:tcPr>
            <w:tcW w:w="1324" w:type="dxa"/>
            <w:vAlign w:val="center"/>
          </w:tcPr>
          <w:p w14:paraId="5EBEB2E9">
            <w:pPr>
              <w:widowControl/>
              <w:autoSpaceDE w:val="0"/>
              <w:autoSpaceDN w:val="0"/>
              <w:spacing w:line="280" w:lineRule="exact"/>
              <w:jc w:val="left"/>
              <w:rPr>
                <w:rFonts w:hint="eastAsia"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对物业服务质量的行政检查</w:t>
            </w:r>
          </w:p>
        </w:tc>
        <w:tc>
          <w:tcPr>
            <w:tcW w:w="794" w:type="dxa"/>
            <w:vAlign w:val="center"/>
          </w:tcPr>
          <w:p w14:paraId="0176647C">
            <w:pPr>
              <w:widowControl/>
              <w:autoSpaceDE w:val="0"/>
              <w:autoSpaceDN w:val="0"/>
              <w:spacing w:line="280" w:lineRule="exact"/>
              <w:jc w:val="center"/>
              <w:rPr>
                <w:rFonts w:hint="eastAsia"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苏州市相城区住房和城乡建设局</w:t>
            </w:r>
          </w:p>
        </w:tc>
        <w:tc>
          <w:tcPr>
            <w:tcW w:w="872" w:type="dxa"/>
            <w:vAlign w:val="center"/>
          </w:tcPr>
          <w:p w14:paraId="4A231DF4">
            <w:pPr>
              <w:widowControl/>
              <w:autoSpaceDE w:val="0"/>
              <w:autoSpaceDN w:val="0"/>
              <w:spacing w:line="280" w:lineRule="exact"/>
              <w:jc w:val="left"/>
              <w:rPr>
                <w:rFonts w:hint="eastAsia"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住房保障科（物业管理科）</w:t>
            </w:r>
          </w:p>
        </w:tc>
        <w:tc>
          <w:tcPr>
            <w:tcW w:w="869" w:type="dxa"/>
            <w:vAlign w:val="center"/>
          </w:tcPr>
          <w:p w14:paraId="25418F16">
            <w:pPr>
              <w:widowControl/>
              <w:autoSpaceDE w:val="0"/>
              <w:autoSpaceDN w:val="0"/>
              <w:spacing w:line="280" w:lineRule="exact"/>
              <w:jc w:val="left"/>
              <w:rPr>
                <w:rFonts w:hint="eastAsia"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物业服务企业、业主</w:t>
            </w:r>
          </w:p>
        </w:tc>
        <w:tc>
          <w:tcPr>
            <w:tcW w:w="4962" w:type="dxa"/>
            <w:vAlign w:val="center"/>
          </w:tcPr>
          <w:p w14:paraId="33677B58">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【行政法规】《物业管理条例》（国务院令第504号）</w:t>
            </w:r>
          </w:p>
          <w:p w14:paraId="11F806C9">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 xml:space="preserve">  　第五十条第一款 业主、物业服务企业不得擅自占用、挖掘物业管理区域内的道路、场地，损害业主的共同利益。</w:t>
            </w:r>
          </w:p>
          <w:p w14:paraId="6F2E0A71">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 xml:space="preserve">  　第六十三条 违反本条例的规定，有下列行为之一的，由县级以上地方人民政府房地产行政主管部门责令限期改正，给予警告，并按照本条第二款的规定处以罚款；所得收益，用于物业管理区域内物业共用部位、共用设施设备的维修、养护，剩余部分按照业主大会的决定使用：</w:t>
            </w:r>
          </w:p>
          <w:p w14:paraId="49F3BAA4">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 xml:space="preserve">   （二）擅自占用、挖掘物业管理区域内道路、场地，损害业主共同利益的。</w:t>
            </w:r>
          </w:p>
          <w:p w14:paraId="2F74B323">
            <w:pPr>
              <w:widowControl/>
              <w:autoSpaceDE w:val="0"/>
              <w:autoSpaceDN w:val="0"/>
              <w:spacing w:line="280" w:lineRule="exact"/>
              <w:jc w:val="left"/>
              <w:rPr>
                <w:rFonts w:hint="eastAsia"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 xml:space="preserve">    个人有前款规定行为之一的，处1000元以上1万元以下的罚款；单位有前款规定行为之一的，处5万元以上20万元以下的罚款。</w:t>
            </w:r>
          </w:p>
        </w:tc>
        <w:tc>
          <w:tcPr>
            <w:tcW w:w="992" w:type="dxa"/>
            <w:vAlign w:val="center"/>
          </w:tcPr>
          <w:p w14:paraId="4FFEF8A2">
            <w:pPr>
              <w:widowControl/>
              <w:autoSpaceDE w:val="0"/>
              <w:autoSpaceDN w:val="0"/>
              <w:spacing w:line="280" w:lineRule="exact"/>
              <w:jc w:val="center"/>
              <w:rPr>
                <w:rFonts w:hint="eastAsia"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现场检查</w:t>
            </w:r>
          </w:p>
        </w:tc>
        <w:tc>
          <w:tcPr>
            <w:tcW w:w="1139" w:type="dxa"/>
            <w:vAlign w:val="center"/>
          </w:tcPr>
          <w:p w14:paraId="59F6C19B">
            <w:pPr>
              <w:widowControl/>
              <w:autoSpaceDE w:val="0"/>
              <w:autoSpaceDN w:val="0"/>
              <w:spacing w:line="280" w:lineRule="exact"/>
              <w:jc w:val="center"/>
              <w:rPr>
                <w:rFonts w:hint="eastAsia" w:ascii="Times New Roman" w:hAnsi="Times New Roman" w:eastAsia="仿宋_GB2312" w:cs="方正仿宋_GBK"/>
                <w:color w:val="auto"/>
                <w:szCs w:val="21"/>
              </w:rPr>
            </w:pPr>
            <w:r>
              <w:rPr>
                <w:rFonts w:hint="eastAsia" w:ascii="Times New Roman" w:hAnsi="Times New Roman" w:eastAsia="仿宋_GB2312"/>
                <w:color w:val="auto"/>
                <w:szCs w:val="21"/>
              </w:rPr>
              <w:t>11-12月</w:t>
            </w:r>
          </w:p>
        </w:tc>
        <w:tc>
          <w:tcPr>
            <w:tcW w:w="1491" w:type="dxa"/>
            <w:vAlign w:val="center"/>
          </w:tcPr>
          <w:p w14:paraId="5144E656">
            <w:pPr>
              <w:widowControl/>
              <w:autoSpaceDE w:val="0"/>
              <w:autoSpaceDN w:val="0"/>
              <w:spacing w:line="280" w:lineRule="exact"/>
              <w:jc w:val="left"/>
              <w:rPr>
                <w:rFonts w:hint="eastAsia" w:ascii="Times New Roman" w:hAnsi="Times New Roman" w:eastAsia="仿宋_GB2312" w:cs="方正仿宋_GBK"/>
                <w:color w:val="auto"/>
                <w:kern w:val="0"/>
                <w:szCs w:val="21"/>
                <w:lang w:bidi="ar"/>
              </w:rPr>
            </w:pPr>
            <w:r>
              <w:rPr>
                <w:rFonts w:ascii="Times New Roman" w:hAnsi="Times New Roman" w:eastAsia="仿宋_GB2312" w:cs="方正仿宋_GBK"/>
                <w:color w:val="auto"/>
                <w:sz w:val="20"/>
                <w:szCs w:val="21"/>
              </w:rPr>
              <w:t>320217585000</w:t>
            </w:r>
          </w:p>
        </w:tc>
        <w:tc>
          <w:tcPr>
            <w:tcW w:w="1481" w:type="dxa"/>
            <w:vAlign w:val="center"/>
          </w:tcPr>
          <w:p w14:paraId="2AEB2C16">
            <w:pPr>
              <w:widowControl/>
              <w:autoSpaceDE w:val="0"/>
              <w:autoSpaceDN w:val="0"/>
              <w:spacing w:line="280" w:lineRule="exact"/>
              <w:jc w:val="left"/>
              <w:rPr>
                <w:rFonts w:hint="eastAsia" w:ascii="Times New Roman" w:hAnsi="Times New Roman" w:eastAsia="仿宋_GB2312" w:cs="方正仿宋_GBK"/>
                <w:color w:val="auto"/>
                <w:kern w:val="0"/>
                <w:szCs w:val="21"/>
                <w:lang w:bidi="ar"/>
              </w:rPr>
            </w:pPr>
            <w:r>
              <w:rPr>
                <w:rFonts w:hint="eastAsia" w:ascii="Times New Roman" w:hAnsi="Times New Roman" w:eastAsia="仿宋_GB2312" w:cs="方正仿宋_GBK"/>
                <w:color w:val="auto"/>
                <w:szCs w:val="21"/>
              </w:rPr>
              <w:t>对擅自占用、挖掘物业管理区域内道路、场地，损害业主共同利益的处罚</w:t>
            </w:r>
          </w:p>
        </w:tc>
        <w:tc>
          <w:tcPr>
            <w:tcW w:w="622" w:type="dxa"/>
            <w:vAlign w:val="center"/>
          </w:tcPr>
          <w:p w14:paraId="4FC851AE">
            <w:pPr>
              <w:spacing w:line="280" w:lineRule="exact"/>
              <w:rPr>
                <w:rFonts w:ascii="Times New Roman" w:hAnsi="Times New Roman" w:eastAsia="仿宋_GB2312" w:cs="方正仿宋_GBK"/>
                <w:color w:val="auto"/>
                <w:szCs w:val="21"/>
              </w:rPr>
            </w:pPr>
          </w:p>
        </w:tc>
      </w:tr>
      <w:tr w14:paraId="340E9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0" w:hRule="atLeast"/>
          <w:jc w:val="center"/>
        </w:trPr>
        <w:tc>
          <w:tcPr>
            <w:tcW w:w="536" w:type="dxa"/>
            <w:vAlign w:val="center"/>
          </w:tcPr>
          <w:p w14:paraId="7643729A">
            <w:pPr>
              <w:widowControl/>
              <w:autoSpaceDE w:val="0"/>
              <w:autoSpaceDN w:val="0"/>
              <w:spacing w:line="280" w:lineRule="exact"/>
              <w:jc w:val="center"/>
              <w:rPr>
                <w:rFonts w:hint="default" w:ascii="Times New Roman" w:hAnsi="Times New Roman" w:eastAsia="仿宋_GB2312" w:cs="方正仿宋_GBK"/>
                <w:color w:val="auto"/>
                <w:szCs w:val="21"/>
                <w:lang w:val="en-US" w:eastAsia="zh-CN"/>
              </w:rPr>
            </w:pPr>
            <w:r>
              <w:rPr>
                <w:rFonts w:hint="eastAsia" w:ascii="Times New Roman" w:hAnsi="Times New Roman" w:eastAsia="仿宋_GB2312" w:cs="方正仿宋_GBK"/>
                <w:color w:val="auto"/>
                <w:szCs w:val="21"/>
                <w:lang w:val="en-US" w:eastAsia="zh-CN"/>
              </w:rPr>
              <w:t>15</w:t>
            </w:r>
          </w:p>
        </w:tc>
        <w:tc>
          <w:tcPr>
            <w:tcW w:w="1324" w:type="dxa"/>
            <w:vAlign w:val="center"/>
          </w:tcPr>
          <w:p w14:paraId="47F4AAC4">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对房屋市政工程质量、安全及文明施工情况的行政检查</w:t>
            </w:r>
          </w:p>
        </w:tc>
        <w:tc>
          <w:tcPr>
            <w:tcW w:w="794" w:type="dxa"/>
            <w:vAlign w:val="center"/>
          </w:tcPr>
          <w:p w14:paraId="70C7B166">
            <w:pPr>
              <w:widowControl/>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苏州市相城区住房和城乡建设局</w:t>
            </w:r>
          </w:p>
        </w:tc>
        <w:tc>
          <w:tcPr>
            <w:tcW w:w="872" w:type="dxa"/>
            <w:vAlign w:val="center"/>
          </w:tcPr>
          <w:p w14:paraId="6732BF0C">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相城区建设工程质量安全监督中心</w:t>
            </w:r>
          </w:p>
        </w:tc>
        <w:tc>
          <w:tcPr>
            <w:tcW w:w="869" w:type="dxa"/>
            <w:vAlign w:val="center"/>
          </w:tcPr>
          <w:p w14:paraId="2973E69E">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生产经营单位</w:t>
            </w:r>
          </w:p>
        </w:tc>
        <w:tc>
          <w:tcPr>
            <w:tcW w:w="4962" w:type="dxa"/>
            <w:vAlign w:val="center"/>
          </w:tcPr>
          <w:p w14:paraId="18BCED13">
            <w:pPr>
              <w:keepNext w:val="0"/>
              <w:keepLines w:val="0"/>
              <w:pageBreakBefore w:val="0"/>
              <w:widowControl/>
              <w:kinsoku/>
              <w:wordWrap/>
              <w:overflowPunct/>
              <w:topLinePunct w:val="0"/>
              <w:autoSpaceDE w:val="0"/>
              <w:autoSpaceDN w:val="0"/>
              <w:bidi w:val="0"/>
              <w:adjustRightInd/>
              <w:snapToGrid/>
              <w:spacing w:line="280" w:lineRule="exact"/>
              <w:jc w:val="left"/>
              <w:textAlignment w:val="auto"/>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【规章】《建筑施工企业安全生产许可证管理规定》</w:t>
            </w:r>
          </w:p>
          <w:p w14:paraId="1790F5EA">
            <w:pPr>
              <w:keepNext w:val="0"/>
              <w:keepLines w:val="0"/>
              <w:pageBreakBefore w:val="0"/>
              <w:widowControl/>
              <w:kinsoku/>
              <w:wordWrap/>
              <w:overflowPunct/>
              <w:topLinePunct w:val="0"/>
              <w:autoSpaceDE w:val="0"/>
              <w:autoSpaceDN w:val="0"/>
              <w:bidi w:val="0"/>
              <w:adjustRightInd/>
              <w:snapToGrid/>
              <w:spacing w:line="280" w:lineRule="exact"/>
              <w:ind w:firstLine="420" w:firstLineChars="200"/>
              <w:jc w:val="left"/>
              <w:textAlignment w:val="auto"/>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第二十四条　违反本规定，建筑施工企业未取得安全生产许可证擅自从事建筑施工活动的，责令其在建项目停止施工，没收违法所得，并处10万元以上50万元以下的罚款；造成重大安全事故或者其他严重后果，构成犯罪的，依法追究刑事责任。</w:t>
            </w:r>
          </w:p>
          <w:p w14:paraId="63AA193F">
            <w:pPr>
              <w:keepNext w:val="0"/>
              <w:keepLines w:val="0"/>
              <w:pageBreakBefore w:val="0"/>
              <w:widowControl/>
              <w:kinsoku/>
              <w:wordWrap/>
              <w:overflowPunct/>
              <w:topLinePunct w:val="0"/>
              <w:autoSpaceDE w:val="0"/>
              <w:autoSpaceDN w:val="0"/>
              <w:bidi w:val="0"/>
              <w:adjustRightInd/>
              <w:snapToGrid/>
              <w:spacing w:line="280" w:lineRule="exact"/>
              <w:ind w:firstLine="420" w:firstLineChars="200"/>
              <w:jc w:val="left"/>
              <w:textAlignment w:val="auto"/>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第二十八条　本规定的暂扣、吊销安全生产许可证的行政处罚，由安全生产许可证的颁发管理机关决定；其他行政处罚，由县级以上地方人民政府建设主管部门决定。</w:t>
            </w:r>
          </w:p>
        </w:tc>
        <w:tc>
          <w:tcPr>
            <w:tcW w:w="992" w:type="dxa"/>
            <w:vAlign w:val="center"/>
          </w:tcPr>
          <w:p w14:paraId="4C86D583">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现场检查、书面检查</w:t>
            </w:r>
          </w:p>
        </w:tc>
        <w:tc>
          <w:tcPr>
            <w:tcW w:w="1139" w:type="dxa"/>
            <w:vAlign w:val="center"/>
          </w:tcPr>
          <w:p w14:paraId="61B780C1">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双随机+重点检查</w:t>
            </w:r>
          </w:p>
        </w:tc>
        <w:tc>
          <w:tcPr>
            <w:tcW w:w="1491" w:type="dxa"/>
            <w:vAlign w:val="center"/>
          </w:tcPr>
          <w:p w14:paraId="4EDD1E58">
            <w:pPr>
              <w:widowControl/>
              <w:spacing w:line="280" w:lineRule="exact"/>
              <w:jc w:val="center"/>
              <w:textAlignment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kern w:val="0"/>
                <w:szCs w:val="21"/>
                <w:lang w:bidi="ar"/>
              </w:rPr>
              <w:t>320217566000</w:t>
            </w:r>
          </w:p>
        </w:tc>
        <w:tc>
          <w:tcPr>
            <w:tcW w:w="1481" w:type="dxa"/>
            <w:vAlign w:val="center"/>
          </w:tcPr>
          <w:p w14:paraId="3E1484AE">
            <w:pPr>
              <w:widowControl/>
              <w:spacing w:line="280" w:lineRule="exact"/>
              <w:jc w:val="left"/>
              <w:textAlignment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kern w:val="0"/>
                <w:szCs w:val="21"/>
                <w:lang w:bidi="ar"/>
              </w:rPr>
              <w:t>对建筑施工企业未取得安全生产许可证擅自从事建筑施工活动的处罚</w:t>
            </w:r>
          </w:p>
        </w:tc>
        <w:tc>
          <w:tcPr>
            <w:tcW w:w="622" w:type="dxa"/>
            <w:vAlign w:val="center"/>
          </w:tcPr>
          <w:p w14:paraId="5CDDF7B9">
            <w:pPr>
              <w:widowControl/>
              <w:autoSpaceDE w:val="0"/>
              <w:autoSpaceDN w:val="0"/>
              <w:spacing w:line="280" w:lineRule="exact"/>
              <w:jc w:val="left"/>
              <w:rPr>
                <w:rFonts w:ascii="Times New Roman" w:hAnsi="Times New Roman" w:eastAsia="仿宋_GB2312" w:cs="方正仿宋_GBK"/>
                <w:color w:val="auto"/>
                <w:szCs w:val="21"/>
              </w:rPr>
            </w:pPr>
          </w:p>
        </w:tc>
      </w:tr>
      <w:tr w14:paraId="46642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0" w:hRule="atLeast"/>
          <w:jc w:val="center"/>
        </w:trPr>
        <w:tc>
          <w:tcPr>
            <w:tcW w:w="536" w:type="dxa"/>
            <w:vMerge w:val="restart"/>
            <w:vAlign w:val="center"/>
          </w:tcPr>
          <w:p w14:paraId="2C9C2377">
            <w:pPr>
              <w:widowControl/>
              <w:autoSpaceDE w:val="0"/>
              <w:autoSpaceDN w:val="0"/>
              <w:spacing w:line="280" w:lineRule="exact"/>
              <w:jc w:val="center"/>
              <w:rPr>
                <w:rFonts w:hint="default" w:ascii="Times New Roman" w:hAnsi="Times New Roman" w:eastAsia="仿宋_GB2312" w:cs="方正仿宋_GBK"/>
                <w:color w:val="auto"/>
                <w:szCs w:val="21"/>
                <w:lang w:val="en-US" w:eastAsia="zh-CN"/>
              </w:rPr>
            </w:pPr>
            <w:r>
              <w:rPr>
                <w:rFonts w:hint="eastAsia" w:ascii="Times New Roman" w:hAnsi="Times New Roman" w:eastAsia="仿宋_GB2312" w:cs="方正仿宋_GBK"/>
                <w:color w:val="auto"/>
                <w:szCs w:val="21"/>
                <w:lang w:val="en-US" w:eastAsia="zh-CN"/>
              </w:rPr>
              <w:t>15</w:t>
            </w:r>
          </w:p>
        </w:tc>
        <w:tc>
          <w:tcPr>
            <w:tcW w:w="1324" w:type="dxa"/>
            <w:vMerge w:val="restart"/>
            <w:vAlign w:val="center"/>
          </w:tcPr>
          <w:p w14:paraId="474CE1EE">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对房屋市政工程质量、安全及文明施工情况的行政检查</w:t>
            </w:r>
          </w:p>
        </w:tc>
        <w:tc>
          <w:tcPr>
            <w:tcW w:w="794" w:type="dxa"/>
            <w:vMerge w:val="restart"/>
            <w:vAlign w:val="center"/>
          </w:tcPr>
          <w:p w14:paraId="599F87C0">
            <w:pPr>
              <w:widowControl/>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苏州市相城区住房和城乡建设局</w:t>
            </w:r>
          </w:p>
        </w:tc>
        <w:tc>
          <w:tcPr>
            <w:tcW w:w="872" w:type="dxa"/>
            <w:vMerge w:val="restart"/>
            <w:vAlign w:val="center"/>
          </w:tcPr>
          <w:p w14:paraId="24E2B94F">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相城区建设工程质量安全监督中心</w:t>
            </w:r>
          </w:p>
        </w:tc>
        <w:tc>
          <w:tcPr>
            <w:tcW w:w="869" w:type="dxa"/>
            <w:vMerge w:val="restart"/>
            <w:vAlign w:val="center"/>
          </w:tcPr>
          <w:p w14:paraId="345453D4">
            <w:pPr>
              <w:widowControl/>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施工</w:t>
            </w:r>
          </w:p>
          <w:p w14:paraId="60669CAA">
            <w:pPr>
              <w:widowControl/>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单位</w:t>
            </w:r>
          </w:p>
        </w:tc>
        <w:tc>
          <w:tcPr>
            <w:tcW w:w="4962" w:type="dxa"/>
            <w:vAlign w:val="center"/>
          </w:tcPr>
          <w:p w14:paraId="133D311D">
            <w:pPr>
              <w:keepNext w:val="0"/>
              <w:keepLines w:val="0"/>
              <w:pageBreakBefore w:val="0"/>
              <w:widowControl/>
              <w:kinsoku/>
              <w:wordWrap/>
              <w:overflowPunct/>
              <w:topLinePunct w:val="0"/>
              <w:autoSpaceDE w:val="0"/>
              <w:autoSpaceDN w:val="0"/>
              <w:bidi w:val="0"/>
              <w:adjustRightInd/>
              <w:snapToGrid/>
              <w:spacing w:line="280" w:lineRule="exact"/>
              <w:jc w:val="left"/>
              <w:textAlignment w:val="auto"/>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【规章】《危险性较大的分部分项工程安全管理规定》</w:t>
            </w:r>
          </w:p>
          <w:p w14:paraId="36FB8E18">
            <w:pPr>
              <w:keepNext w:val="0"/>
              <w:keepLines w:val="0"/>
              <w:pageBreakBefore w:val="0"/>
              <w:widowControl/>
              <w:kinsoku/>
              <w:wordWrap/>
              <w:overflowPunct/>
              <w:topLinePunct w:val="0"/>
              <w:autoSpaceDE w:val="0"/>
              <w:autoSpaceDN w:val="0"/>
              <w:bidi w:val="0"/>
              <w:adjustRightInd/>
              <w:snapToGrid/>
              <w:spacing w:line="280" w:lineRule="exact"/>
              <w:jc w:val="left"/>
              <w:textAlignment w:val="auto"/>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　　第十七条第一款、第二款　施工单位应当对危大工程施工作业人员进行登记，项目负责人应当在施工现场履职。</w:t>
            </w:r>
          </w:p>
          <w:p w14:paraId="0DE0F107">
            <w:pPr>
              <w:keepNext w:val="0"/>
              <w:keepLines w:val="0"/>
              <w:pageBreakBefore w:val="0"/>
              <w:widowControl/>
              <w:kinsoku/>
              <w:wordWrap/>
              <w:overflowPunct/>
              <w:topLinePunct w:val="0"/>
              <w:autoSpaceDE w:val="0"/>
              <w:autoSpaceDN w:val="0"/>
              <w:bidi w:val="0"/>
              <w:adjustRightInd/>
              <w:snapToGrid/>
              <w:spacing w:line="280" w:lineRule="exact"/>
              <w:ind w:firstLine="420"/>
              <w:jc w:val="left"/>
              <w:textAlignment w:val="auto"/>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项目专职安全生产管理人员应当对专项施工方案实施情况进行现场监督，对未按照专项施工方案施工的，应当要求立即整改，并及时报告项目负责人，项目负责人应当及时组织限期整改。</w:t>
            </w:r>
          </w:p>
          <w:p w14:paraId="004F1EAC">
            <w:pPr>
              <w:keepNext w:val="0"/>
              <w:keepLines w:val="0"/>
              <w:pageBreakBefore w:val="0"/>
              <w:widowControl/>
              <w:kinsoku/>
              <w:wordWrap/>
              <w:overflowPunct/>
              <w:topLinePunct w:val="0"/>
              <w:autoSpaceDE w:val="0"/>
              <w:autoSpaceDN w:val="0"/>
              <w:bidi w:val="0"/>
              <w:adjustRightInd/>
              <w:snapToGrid/>
              <w:spacing w:line="280" w:lineRule="exact"/>
              <w:ind w:firstLine="420"/>
              <w:jc w:val="left"/>
              <w:textAlignment w:val="auto"/>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第三十五条　施工单位有下列行为之一的，责令限期改正，并处1万元以上3万元以下的罚款；对直接负责的主管人员和其他直接责任人员处1000元以上5000元以下的罚款：</w:t>
            </w:r>
          </w:p>
          <w:p w14:paraId="08C7B0C6">
            <w:pPr>
              <w:keepNext w:val="0"/>
              <w:keepLines w:val="0"/>
              <w:pageBreakBefore w:val="0"/>
              <w:widowControl/>
              <w:kinsoku/>
              <w:wordWrap/>
              <w:overflowPunct/>
              <w:topLinePunct w:val="0"/>
              <w:autoSpaceDE w:val="0"/>
              <w:autoSpaceDN w:val="0"/>
              <w:bidi w:val="0"/>
              <w:adjustRightInd/>
              <w:snapToGrid/>
              <w:spacing w:line="280" w:lineRule="exact"/>
              <w:ind w:firstLine="420"/>
              <w:jc w:val="left"/>
              <w:textAlignment w:val="auto"/>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（一）项目负责人未按照本规定现场履职或者组织限期整改的；</w:t>
            </w:r>
          </w:p>
        </w:tc>
        <w:tc>
          <w:tcPr>
            <w:tcW w:w="992" w:type="dxa"/>
            <w:vAlign w:val="center"/>
          </w:tcPr>
          <w:p w14:paraId="7FDF0D18">
            <w:pPr>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现场检查、书面检查</w:t>
            </w:r>
          </w:p>
        </w:tc>
        <w:tc>
          <w:tcPr>
            <w:tcW w:w="1139" w:type="dxa"/>
            <w:vAlign w:val="center"/>
          </w:tcPr>
          <w:p w14:paraId="39DBC1B2">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双随机+重点检查</w:t>
            </w:r>
          </w:p>
        </w:tc>
        <w:tc>
          <w:tcPr>
            <w:tcW w:w="1491" w:type="dxa"/>
            <w:vAlign w:val="center"/>
          </w:tcPr>
          <w:p w14:paraId="66BBCF39">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320217758000</w:t>
            </w:r>
          </w:p>
        </w:tc>
        <w:tc>
          <w:tcPr>
            <w:tcW w:w="1481" w:type="dxa"/>
            <w:vAlign w:val="center"/>
          </w:tcPr>
          <w:p w14:paraId="6D0861FD">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对施工单位在项目负责人未按照本规定现场履职或者组织限期整改的处罚</w:t>
            </w:r>
          </w:p>
        </w:tc>
        <w:tc>
          <w:tcPr>
            <w:tcW w:w="622" w:type="dxa"/>
            <w:vAlign w:val="center"/>
          </w:tcPr>
          <w:p w14:paraId="01B79E05">
            <w:pPr>
              <w:widowControl/>
              <w:autoSpaceDE w:val="0"/>
              <w:autoSpaceDN w:val="0"/>
              <w:spacing w:line="280" w:lineRule="exact"/>
              <w:jc w:val="left"/>
              <w:rPr>
                <w:rFonts w:ascii="Times New Roman" w:hAnsi="Times New Roman" w:eastAsia="仿宋_GB2312" w:cs="方正仿宋_GBK"/>
                <w:color w:val="auto"/>
                <w:szCs w:val="21"/>
              </w:rPr>
            </w:pPr>
          </w:p>
        </w:tc>
      </w:tr>
      <w:tr w14:paraId="4298A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5" w:hRule="atLeast"/>
          <w:jc w:val="center"/>
        </w:trPr>
        <w:tc>
          <w:tcPr>
            <w:tcW w:w="536" w:type="dxa"/>
            <w:vMerge w:val="continue"/>
            <w:vAlign w:val="center"/>
          </w:tcPr>
          <w:p w14:paraId="016ECB39">
            <w:pPr>
              <w:widowControl/>
              <w:autoSpaceDE w:val="0"/>
              <w:autoSpaceDN w:val="0"/>
              <w:spacing w:line="280" w:lineRule="exact"/>
              <w:jc w:val="center"/>
              <w:rPr>
                <w:rFonts w:hint="default" w:ascii="Times New Roman" w:hAnsi="Times New Roman" w:eastAsia="仿宋_GB2312" w:cs="方正仿宋_GBK"/>
                <w:color w:val="auto"/>
                <w:szCs w:val="21"/>
                <w:lang w:val="en-US"/>
              </w:rPr>
            </w:pPr>
          </w:p>
        </w:tc>
        <w:tc>
          <w:tcPr>
            <w:tcW w:w="1324" w:type="dxa"/>
            <w:vMerge w:val="continue"/>
            <w:vAlign w:val="center"/>
          </w:tcPr>
          <w:p w14:paraId="6F8C9ADE">
            <w:pPr>
              <w:widowControl/>
              <w:autoSpaceDE w:val="0"/>
              <w:autoSpaceDN w:val="0"/>
              <w:spacing w:line="280" w:lineRule="exact"/>
              <w:jc w:val="left"/>
              <w:rPr>
                <w:rFonts w:ascii="Times New Roman" w:hAnsi="Times New Roman" w:eastAsia="仿宋_GB2312" w:cs="方正仿宋_GBK"/>
                <w:color w:val="auto"/>
                <w:szCs w:val="21"/>
              </w:rPr>
            </w:pPr>
          </w:p>
        </w:tc>
        <w:tc>
          <w:tcPr>
            <w:tcW w:w="794" w:type="dxa"/>
            <w:vMerge w:val="continue"/>
            <w:vAlign w:val="center"/>
          </w:tcPr>
          <w:p w14:paraId="19407F14">
            <w:pPr>
              <w:widowControl/>
              <w:autoSpaceDE w:val="0"/>
              <w:autoSpaceDN w:val="0"/>
              <w:spacing w:line="280" w:lineRule="exact"/>
              <w:jc w:val="center"/>
              <w:rPr>
                <w:rFonts w:ascii="Times New Roman" w:hAnsi="Times New Roman" w:eastAsia="仿宋_GB2312" w:cs="方正仿宋_GBK"/>
                <w:color w:val="auto"/>
                <w:szCs w:val="21"/>
              </w:rPr>
            </w:pPr>
          </w:p>
        </w:tc>
        <w:tc>
          <w:tcPr>
            <w:tcW w:w="872" w:type="dxa"/>
            <w:vMerge w:val="continue"/>
            <w:vAlign w:val="center"/>
          </w:tcPr>
          <w:p w14:paraId="36F5B370">
            <w:pPr>
              <w:widowControl/>
              <w:autoSpaceDE w:val="0"/>
              <w:autoSpaceDN w:val="0"/>
              <w:spacing w:line="280" w:lineRule="exact"/>
              <w:jc w:val="left"/>
              <w:rPr>
                <w:rFonts w:ascii="Times New Roman" w:hAnsi="Times New Roman" w:eastAsia="仿宋_GB2312" w:cs="方正仿宋_GBK"/>
                <w:color w:val="auto"/>
                <w:szCs w:val="21"/>
              </w:rPr>
            </w:pPr>
          </w:p>
        </w:tc>
        <w:tc>
          <w:tcPr>
            <w:tcW w:w="869" w:type="dxa"/>
            <w:vMerge w:val="continue"/>
            <w:vAlign w:val="center"/>
          </w:tcPr>
          <w:p w14:paraId="1C498C10">
            <w:pPr>
              <w:widowControl/>
              <w:autoSpaceDE w:val="0"/>
              <w:autoSpaceDN w:val="0"/>
              <w:spacing w:line="280" w:lineRule="exact"/>
              <w:jc w:val="center"/>
              <w:rPr>
                <w:rFonts w:ascii="Times New Roman" w:hAnsi="Times New Roman" w:eastAsia="仿宋_GB2312" w:cs="方正仿宋_GBK"/>
                <w:color w:val="auto"/>
                <w:szCs w:val="21"/>
              </w:rPr>
            </w:pPr>
          </w:p>
        </w:tc>
        <w:tc>
          <w:tcPr>
            <w:tcW w:w="4962" w:type="dxa"/>
            <w:vAlign w:val="center"/>
          </w:tcPr>
          <w:p w14:paraId="008DFED1">
            <w:pPr>
              <w:keepNext w:val="0"/>
              <w:keepLines w:val="0"/>
              <w:pageBreakBefore w:val="0"/>
              <w:widowControl/>
              <w:kinsoku/>
              <w:wordWrap/>
              <w:overflowPunct/>
              <w:topLinePunct w:val="0"/>
              <w:autoSpaceDE w:val="0"/>
              <w:autoSpaceDN w:val="0"/>
              <w:bidi w:val="0"/>
              <w:adjustRightInd/>
              <w:snapToGrid/>
              <w:spacing w:line="270" w:lineRule="exact"/>
              <w:jc w:val="left"/>
              <w:textAlignment w:val="auto"/>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【规章】《危险性较大的分部分项工程安全管理规定》</w:t>
            </w:r>
          </w:p>
          <w:p w14:paraId="661AED4A">
            <w:pPr>
              <w:keepNext w:val="0"/>
              <w:keepLines w:val="0"/>
              <w:pageBreakBefore w:val="0"/>
              <w:widowControl/>
              <w:kinsoku/>
              <w:wordWrap/>
              <w:overflowPunct/>
              <w:topLinePunct w:val="0"/>
              <w:autoSpaceDE w:val="0"/>
              <w:autoSpaceDN w:val="0"/>
              <w:bidi w:val="0"/>
              <w:adjustRightInd/>
              <w:snapToGrid/>
              <w:spacing w:line="270" w:lineRule="exact"/>
              <w:ind w:firstLine="420"/>
              <w:jc w:val="left"/>
              <w:textAlignment w:val="auto"/>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第十七条第三款  施工单位应当按照规定对危大工程进行施工监测和安全巡视，发现危及人身安全的紧急情况，应当立即组织作业人员撤离危险区域。</w:t>
            </w:r>
          </w:p>
          <w:p w14:paraId="11C9C129">
            <w:pPr>
              <w:keepNext w:val="0"/>
              <w:keepLines w:val="0"/>
              <w:pageBreakBefore w:val="0"/>
              <w:widowControl/>
              <w:kinsoku/>
              <w:wordWrap/>
              <w:overflowPunct/>
              <w:topLinePunct w:val="0"/>
              <w:autoSpaceDE w:val="0"/>
              <w:autoSpaceDN w:val="0"/>
              <w:bidi w:val="0"/>
              <w:adjustRightInd/>
              <w:snapToGrid/>
              <w:spacing w:line="270" w:lineRule="exact"/>
              <w:ind w:firstLine="420"/>
              <w:jc w:val="left"/>
              <w:textAlignment w:val="auto"/>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第三十五条　施工单位有下列行为之一的，责令限期改正，并处1万元以上3万元以下的罚款；对直接负责的主管人员和其他直接责任人员处1000元以上5000元以下的罚款：</w:t>
            </w:r>
          </w:p>
          <w:p w14:paraId="34E805F9">
            <w:pPr>
              <w:keepNext w:val="0"/>
              <w:keepLines w:val="0"/>
              <w:pageBreakBefore w:val="0"/>
              <w:widowControl/>
              <w:kinsoku/>
              <w:wordWrap/>
              <w:overflowPunct/>
              <w:topLinePunct w:val="0"/>
              <w:autoSpaceDE w:val="0"/>
              <w:autoSpaceDN w:val="0"/>
              <w:bidi w:val="0"/>
              <w:adjustRightInd/>
              <w:snapToGrid/>
              <w:spacing w:line="270" w:lineRule="exact"/>
              <w:ind w:firstLine="420"/>
              <w:jc w:val="left"/>
              <w:textAlignment w:val="auto"/>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（二）施工单位未按照本规定进行施工监测和安全巡视的；</w:t>
            </w:r>
          </w:p>
        </w:tc>
        <w:tc>
          <w:tcPr>
            <w:tcW w:w="992" w:type="dxa"/>
            <w:vAlign w:val="center"/>
          </w:tcPr>
          <w:p w14:paraId="1B99A5FF">
            <w:pPr>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现场检查、书面检查</w:t>
            </w:r>
          </w:p>
        </w:tc>
        <w:tc>
          <w:tcPr>
            <w:tcW w:w="1139" w:type="dxa"/>
            <w:vAlign w:val="center"/>
          </w:tcPr>
          <w:p w14:paraId="102BCFAD">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双随机+重点检查</w:t>
            </w:r>
          </w:p>
        </w:tc>
        <w:tc>
          <w:tcPr>
            <w:tcW w:w="1491" w:type="dxa"/>
            <w:vAlign w:val="center"/>
          </w:tcPr>
          <w:p w14:paraId="422ED680">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320217757000</w:t>
            </w:r>
          </w:p>
        </w:tc>
        <w:tc>
          <w:tcPr>
            <w:tcW w:w="1481" w:type="dxa"/>
            <w:vAlign w:val="center"/>
          </w:tcPr>
          <w:p w14:paraId="01C013DC">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对施工单位未按照本规定进行施工监测和安全巡视的处罚</w:t>
            </w:r>
          </w:p>
        </w:tc>
        <w:tc>
          <w:tcPr>
            <w:tcW w:w="622" w:type="dxa"/>
            <w:vAlign w:val="center"/>
          </w:tcPr>
          <w:p w14:paraId="76A7914B">
            <w:pPr>
              <w:widowControl/>
              <w:autoSpaceDE w:val="0"/>
              <w:autoSpaceDN w:val="0"/>
              <w:spacing w:line="280" w:lineRule="exact"/>
              <w:jc w:val="left"/>
              <w:rPr>
                <w:rFonts w:ascii="Times New Roman" w:hAnsi="Times New Roman" w:eastAsia="仿宋_GB2312" w:cs="方正仿宋_GBK"/>
                <w:color w:val="auto"/>
                <w:szCs w:val="21"/>
              </w:rPr>
            </w:pPr>
          </w:p>
        </w:tc>
      </w:tr>
      <w:tr w14:paraId="621EC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4" w:hRule="atLeast"/>
          <w:jc w:val="center"/>
        </w:trPr>
        <w:tc>
          <w:tcPr>
            <w:tcW w:w="536" w:type="dxa"/>
            <w:vMerge w:val="restart"/>
            <w:vAlign w:val="center"/>
          </w:tcPr>
          <w:p w14:paraId="0A9D0905">
            <w:pPr>
              <w:widowControl/>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lang w:val="en-US" w:eastAsia="zh-CN"/>
              </w:rPr>
              <w:t>15</w:t>
            </w:r>
          </w:p>
        </w:tc>
        <w:tc>
          <w:tcPr>
            <w:tcW w:w="1324" w:type="dxa"/>
            <w:vMerge w:val="restart"/>
            <w:vAlign w:val="center"/>
          </w:tcPr>
          <w:p w14:paraId="32094983">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对房屋市政工程质量、安全及文明施工情况的行政检查</w:t>
            </w:r>
          </w:p>
        </w:tc>
        <w:tc>
          <w:tcPr>
            <w:tcW w:w="794" w:type="dxa"/>
            <w:vMerge w:val="restart"/>
            <w:vAlign w:val="center"/>
          </w:tcPr>
          <w:p w14:paraId="01247203">
            <w:pPr>
              <w:widowControl/>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苏州市相城区住房和城乡建设局</w:t>
            </w:r>
          </w:p>
        </w:tc>
        <w:tc>
          <w:tcPr>
            <w:tcW w:w="872" w:type="dxa"/>
            <w:vMerge w:val="restart"/>
            <w:vAlign w:val="center"/>
          </w:tcPr>
          <w:p w14:paraId="4FC820D1">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相城区建设工程质量安全监督中心</w:t>
            </w:r>
          </w:p>
        </w:tc>
        <w:tc>
          <w:tcPr>
            <w:tcW w:w="869" w:type="dxa"/>
            <w:vMerge w:val="restart"/>
            <w:vAlign w:val="center"/>
          </w:tcPr>
          <w:p w14:paraId="4B7E31A1">
            <w:pPr>
              <w:widowControl/>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施工</w:t>
            </w:r>
          </w:p>
          <w:p w14:paraId="17049518">
            <w:pPr>
              <w:widowControl/>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单位</w:t>
            </w:r>
          </w:p>
        </w:tc>
        <w:tc>
          <w:tcPr>
            <w:tcW w:w="4962" w:type="dxa"/>
            <w:vAlign w:val="center"/>
          </w:tcPr>
          <w:p w14:paraId="2A3C9FDA">
            <w:pPr>
              <w:keepNext w:val="0"/>
              <w:keepLines w:val="0"/>
              <w:pageBreakBefore w:val="0"/>
              <w:widowControl/>
              <w:kinsoku/>
              <w:wordWrap/>
              <w:overflowPunct/>
              <w:topLinePunct w:val="0"/>
              <w:autoSpaceDE w:val="0"/>
              <w:autoSpaceDN w:val="0"/>
              <w:bidi w:val="0"/>
              <w:adjustRightInd/>
              <w:snapToGrid/>
              <w:spacing w:line="290" w:lineRule="exact"/>
              <w:jc w:val="left"/>
              <w:textAlignment w:val="auto"/>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【规章】《危险性较大的分部分项工程安全管理规定》</w:t>
            </w:r>
          </w:p>
          <w:p w14:paraId="4316AFDC">
            <w:pPr>
              <w:keepNext w:val="0"/>
              <w:keepLines w:val="0"/>
              <w:pageBreakBefore w:val="0"/>
              <w:widowControl/>
              <w:kinsoku/>
              <w:wordWrap/>
              <w:overflowPunct/>
              <w:topLinePunct w:val="0"/>
              <w:autoSpaceDE w:val="0"/>
              <w:autoSpaceDN w:val="0"/>
              <w:bidi w:val="0"/>
              <w:adjustRightInd/>
              <w:snapToGrid/>
              <w:spacing w:line="290" w:lineRule="exact"/>
              <w:ind w:firstLine="420"/>
              <w:jc w:val="left"/>
              <w:textAlignment w:val="auto"/>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第十三条　专家论证会后，应当形成论证报告，对专项施工方案提出通过、修改后通过或者不通过的一致意见。专家对论证报告负责并签字确认。专项施工方案经论证需修改后通过的，施工单位应当根据论证报告修改完善后，重新履行本规定第十一条的程序。专项施工方案经论证不通过的，施工单位修改后应当按照本规定的要求重新组织专家论证。</w:t>
            </w:r>
          </w:p>
          <w:p w14:paraId="4ADA8C33">
            <w:pPr>
              <w:keepNext w:val="0"/>
              <w:keepLines w:val="0"/>
              <w:pageBreakBefore w:val="0"/>
              <w:widowControl/>
              <w:kinsoku/>
              <w:wordWrap/>
              <w:overflowPunct/>
              <w:topLinePunct w:val="0"/>
              <w:autoSpaceDE w:val="0"/>
              <w:autoSpaceDN w:val="0"/>
              <w:bidi w:val="0"/>
              <w:adjustRightInd/>
              <w:snapToGrid/>
              <w:spacing w:line="290" w:lineRule="exact"/>
              <w:ind w:firstLine="420"/>
              <w:jc w:val="left"/>
              <w:textAlignment w:val="auto"/>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第三十四条　施工单位有下列行为之一的，责令限期改正，处1万元以上3万元以下的罚款，并暂扣安全生产许可证30日；对直接负责的主管人员和其他直接责任人员处1000元以上5000元以下的罚款：</w:t>
            </w:r>
          </w:p>
          <w:p w14:paraId="5FBF705D">
            <w:pPr>
              <w:keepNext w:val="0"/>
              <w:keepLines w:val="0"/>
              <w:pageBreakBefore w:val="0"/>
              <w:widowControl/>
              <w:kinsoku/>
              <w:wordWrap/>
              <w:overflowPunct/>
              <w:topLinePunct w:val="0"/>
              <w:autoSpaceDE w:val="0"/>
              <w:autoSpaceDN w:val="0"/>
              <w:bidi w:val="0"/>
              <w:adjustRightInd/>
              <w:snapToGrid/>
              <w:spacing w:line="290" w:lineRule="exact"/>
              <w:ind w:firstLine="420"/>
              <w:jc w:val="left"/>
              <w:textAlignment w:val="auto"/>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（二）未根据专家论证报告对超过一定规模的危大工程专项施工方案进行修改，或者未按照本规定重新组织专家论证的；</w:t>
            </w:r>
          </w:p>
        </w:tc>
        <w:tc>
          <w:tcPr>
            <w:tcW w:w="992" w:type="dxa"/>
            <w:vMerge w:val="restart"/>
            <w:vAlign w:val="center"/>
          </w:tcPr>
          <w:p w14:paraId="5F8DAFC2">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现场检查、书面检查</w:t>
            </w:r>
          </w:p>
        </w:tc>
        <w:tc>
          <w:tcPr>
            <w:tcW w:w="1139" w:type="dxa"/>
            <w:vMerge w:val="restart"/>
            <w:vAlign w:val="center"/>
          </w:tcPr>
          <w:p w14:paraId="16AA8AAE">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双随机+重点检查</w:t>
            </w:r>
          </w:p>
        </w:tc>
        <w:tc>
          <w:tcPr>
            <w:tcW w:w="1491" w:type="dxa"/>
            <w:vAlign w:val="center"/>
          </w:tcPr>
          <w:p w14:paraId="706D83CC">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320217737000</w:t>
            </w:r>
          </w:p>
        </w:tc>
        <w:tc>
          <w:tcPr>
            <w:tcW w:w="1481" w:type="dxa"/>
            <w:vAlign w:val="center"/>
          </w:tcPr>
          <w:p w14:paraId="5D4B122A">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未根据专家论证报告对超过一定规模的危大工程专项施工方案进行修改，或者未按照本规定重新组织专家论证的处罚</w:t>
            </w:r>
          </w:p>
        </w:tc>
        <w:tc>
          <w:tcPr>
            <w:tcW w:w="622" w:type="dxa"/>
            <w:vAlign w:val="center"/>
          </w:tcPr>
          <w:p w14:paraId="236D1A64">
            <w:pPr>
              <w:widowControl/>
              <w:autoSpaceDE w:val="0"/>
              <w:autoSpaceDN w:val="0"/>
              <w:spacing w:line="280" w:lineRule="exact"/>
              <w:jc w:val="left"/>
              <w:rPr>
                <w:rFonts w:ascii="Times New Roman" w:hAnsi="Times New Roman" w:eastAsia="仿宋_GB2312" w:cs="方正仿宋_GBK"/>
                <w:color w:val="auto"/>
                <w:szCs w:val="21"/>
              </w:rPr>
            </w:pPr>
          </w:p>
        </w:tc>
      </w:tr>
      <w:tr w14:paraId="6BFCC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5" w:hRule="atLeast"/>
          <w:jc w:val="center"/>
        </w:trPr>
        <w:tc>
          <w:tcPr>
            <w:tcW w:w="536" w:type="dxa"/>
            <w:vMerge w:val="continue"/>
            <w:vAlign w:val="center"/>
          </w:tcPr>
          <w:p w14:paraId="4CF46F2D">
            <w:pPr>
              <w:widowControl/>
              <w:autoSpaceDE w:val="0"/>
              <w:autoSpaceDN w:val="0"/>
              <w:spacing w:line="280" w:lineRule="exact"/>
              <w:jc w:val="left"/>
              <w:rPr>
                <w:rFonts w:ascii="Times New Roman" w:hAnsi="Times New Roman" w:eastAsia="仿宋_GB2312" w:cs="方正仿宋_GBK"/>
                <w:color w:val="auto"/>
                <w:szCs w:val="21"/>
              </w:rPr>
            </w:pPr>
          </w:p>
        </w:tc>
        <w:tc>
          <w:tcPr>
            <w:tcW w:w="1324" w:type="dxa"/>
            <w:vMerge w:val="continue"/>
            <w:vAlign w:val="center"/>
          </w:tcPr>
          <w:p w14:paraId="04E476FE">
            <w:pPr>
              <w:widowControl/>
              <w:autoSpaceDE w:val="0"/>
              <w:autoSpaceDN w:val="0"/>
              <w:spacing w:line="280" w:lineRule="exact"/>
              <w:jc w:val="left"/>
              <w:rPr>
                <w:rFonts w:ascii="Times New Roman" w:hAnsi="Times New Roman" w:eastAsia="仿宋_GB2312" w:cs="方正仿宋_GBK"/>
                <w:color w:val="auto"/>
                <w:szCs w:val="21"/>
              </w:rPr>
            </w:pPr>
          </w:p>
        </w:tc>
        <w:tc>
          <w:tcPr>
            <w:tcW w:w="794" w:type="dxa"/>
            <w:vMerge w:val="continue"/>
            <w:vAlign w:val="center"/>
          </w:tcPr>
          <w:p w14:paraId="3A515726">
            <w:pPr>
              <w:widowControl/>
              <w:autoSpaceDE w:val="0"/>
              <w:autoSpaceDN w:val="0"/>
              <w:spacing w:line="280" w:lineRule="exact"/>
              <w:jc w:val="left"/>
              <w:rPr>
                <w:rFonts w:ascii="Times New Roman" w:hAnsi="Times New Roman" w:eastAsia="仿宋_GB2312" w:cs="方正仿宋_GBK"/>
                <w:color w:val="auto"/>
                <w:szCs w:val="21"/>
              </w:rPr>
            </w:pPr>
          </w:p>
        </w:tc>
        <w:tc>
          <w:tcPr>
            <w:tcW w:w="872" w:type="dxa"/>
            <w:vMerge w:val="continue"/>
            <w:vAlign w:val="center"/>
          </w:tcPr>
          <w:p w14:paraId="77E7B48D">
            <w:pPr>
              <w:widowControl/>
              <w:autoSpaceDE w:val="0"/>
              <w:autoSpaceDN w:val="0"/>
              <w:spacing w:line="280" w:lineRule="exact"/>
              <w:jc w:val="left"/>
              <w:rPr>
                <w:rFonts w:ascii="Times New Roman" w:hAnsi="Times New Roman" w:eastAsia="仿宋_GB2312" w:cs="方正仿宋_GBK"/>
                <w:color w:val="auto"/>
                <w:szCs w:val="21"/>
              </w:rPr>
            </w:pPr>
          </w:p>
        </w:tc>
        <w:tc>
          <w:tcPr>
            <w:tcW w:w="869" w:type="dxa"/>
            <w:vMerge w:val="continue"/>
            <w:vAlign w:val="center"/>
          </w:tcPr>
          <w:p w14:paraId="513A03DF">
            <w:pPr>
              <w:widowControl/>
              <w:autoSpaceDE w:val="0"/>
              <w:autoSpaceDN w:val="0"/>
              <w:spacing w:line="280" w:lineRule="exact"/>
              <w:jc w:val="left"/>
              <w:rPr>
                <w:rFonts w:ascii="Times New Roman" w:hAnsi="Times New Roman" w:eastAsia="仿宋_GB2312" w:cs="方正仿宋_GBK"/>
                <w:color w:val="auto"/>
                <w:szCs w:val="21"/>
              </w:rPr>
            </w:pPr>
          </w:p>
        </w:tc>
        <w:tc>
          <w:tcPr>
            <w:tcW w:w="4962" w:type="dxa"/>
            <w:vAlign w:val="center"/>
          </w:tcPr>
          <w:p w14:paraId="1DC977CF">
            <w:pPr>
              <w:keepNext w:val="0"/>
              <w:keepLines w:val="0"/>
              <w:pageBreakBefore w:val="0"/>
              <w:widowControl/>
              <w:kinsoku/>
              <w:wordWrap/>
              <w:overflowPunct/>
              <w:topLinePunct w:val="0"/>
              <w:autoSpaceDE w:val="0"/>
              <w:autoSpaceDN w:val="0"/>
              <w:bidi w:val="0"/>
              <w:adjustRightInd/>
              <w:snapToGrid/>
              <w:spacing w:line="300" w:lineRule="exact"/>
              <w:jc w:val="left"/>
              <w:textAlignment w:val="auto"/>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【规章】《危险性较大的分部分项工程安全管理规定》</w:t>
            </w:r>
          </w:p>
          <w:p w14:paraId="45A62853">
            <w:pPr>
              <w:keepNext w:val="0"/>
              <w:keepLines w:val="0"/>
              <w:pageBreakBefore w:val="0"/>
              <w:widowControl/>
              <w:kinsoku/>
              <w:wordWrap/>
              <w:overflowPunct/>
              <w:topLinePunct w:val="0"/>
              <w:autoSpaceDE w:val="0"/>
              <w:autoSpaceDN w:val="0"/>
              <w:bidi w:val="0"/>
              <w:adjustRightInd/>
              <w:snapToGrid/>
              <w:spacing w:line="300" w:lineRule="exact"/>
              <w:jc w:val="left"/>
              <w:textAlignment w:val="auto"/>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　　第十二条　对于超过一定规模的危大工程，施工单位应当组织召开专家论证会对专项施工方案进行论证。实行施工总承包的，由施工总承包单位组织召开专家论证会。专家论证前专项施工方案应当通过施工单位审核和总监理工程师审查。专家应当从地方人民政府住房城乡建设主管部门建立的专家库中选取，符合专业要求且人数不得少于5名。与本工程有利害关系的人员不得以专家身份参加专家论证会。</w:t>
            </w:r>
          </w:p>
        </w:tc>
        <w:tc>
          <w:tcPr>
            <w:tcW w:w="992" w:type="dxa"/>
            <w:vMerge w:val="continue"/>
            <w:vAlign w:val="center"/>
          </w:tcPr>
          <w:p w14:paraId="3C6A2360">
            <w:pPr>
              <w:widowControl/>
              <w:autoSpaceDE w:val="0"/>
              <w:autoSpaceDN w:val="0"/>
              <w:spacing w:line="280" w:lineRule="exact"/>
              <w:jc w:val="left"/>
              <w:rPr>
                <w:rFonts w:ascii="Times New Roman" w:hAnsi="Times New Roman" w:eastAsia="仿宋_GB2312" w:cs="方正仿宋_GBK"/>
                <w:color w:val="auto"/>
                <w:szCs w:val="21"/>
              </w:rPr>
            </w:pPr>
          </w:p>
        </w:tc>
        <w:tc>
          <w:tcPr>
            <w:tcW w:w="1139" w:type="dxa"/>
            <w:vMerge w:val="continue"/>
            <w:vAlign w:val="center"/>
          </w:tcPr>
          <w:p w14:paraId="5025A150">
            <w:pPr>
              <w:widowControl/>
              <w:autoSpaceDE w:val="0"/>
              <w:autoSpaceDN w:val="0"/>
              <w:spacing w:line="280" w:lineRule="exact"/>
              <w:jc w:val="left"/>
              <w:rPr>
                <w:rFonts w:ascii="Times New Roman" w:hAnsi="Times New Roman" w:eastAsia="仿宋_GB2312" w:cs="方正仿宋_GBK"/>
                <w:color w:val="auto"/>
                <w:szCs w:val="21"/>
              </w:rPr>
            </w:pPr>
          </w:p>
        </w:tc>
        <w:tc>
          <w:tcPr>
            <w:tcW w:w="1491" w:type="dxa"/>
            <w:vAlign w:val="center"/>
          </w:tcPr>
          <w:p w14:paraId="22CFAB6B">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320217736000</w:t>
            </w:r>
          </w:p>
        </w:tc>
        <w:tc>
          <w:tcPr>
            <w:tcW w:w="1481" w:type="dxa"/>
            <w:vAlign w:val="center"/>
          </w:tcPr>
          <w:p w14:paraId="4BEFDEED">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对施工单位未对超过一定规模的危大工程专项施工方案进行专家论证的处罚</w:t>
            </w:r>
          </w:p>
        </w:tc>
        <w:tc>
          <w:tcPr>
            <w:tcW w:w="622" w:type="dxa"/>
            <w:vAlign w:val="center"/>
          </w:tcPr>
          <w:p w14:paraId="06DAD244">
            <w:pPr>
              <w:widowControl/>
              <w:autoSpaceDE w:val="0"/>
              <w:autoSpaceDN w:val="0"/>
              <w:spacing w:line="280" w:lineRule="exact"/>
              <w:jc w:val="left"/>
              <w:rPr>
                <w:rFonts w:ascii="Times New Roman" w:hAnsi="Times New Roman" w:eastAsia="仿宋_GB2312" w:cs="方正仿宋_GBK"/>
                <w:color w:val="auto"/>
                <w:szCs w:val="21"/>
              </w:rPr>
            </w:pPr>
          </w:p>
        </w:tc>
      </w:tr>
      <w:tr w14:paraId="057A5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6" w:type="dxa"/>
            <w:vMerge w:val="restart"/>
            <w:vAlign w:val="center"/>
          </w:tcPr>
          <w:p w14:paraId="25212441">
            <w:pPr>
              <w:widowControl/>
              <w:autoSpaceDE w:val="0"/>
              <w:autoSpaceDN w:val="0"/>
              <w:spacing w:line="280" w:lineRule="exact"/>
              <w:jc w:val="center"/>
              <w:rPr>
                <w:rFonts w:hint="default" w:ascii="Times New Roman" w:hAnsi="Times New Roman" w:eastAsia="仿宋_GB2312" w:cs="方正仿宋_GBK"/>
                <w:color w:val="auto"/>
                <w:szCs w:val="21"/>
                <w:lang w:val="en-US" w:eastAsia="zh-CN"/>
              </w:rPr>
            </w:pPr>
            <w:r>
              <w:rPr>
                <w:rFonts w:hint="eastAsia" w:ascii="Times New Roman" w:hAnsi="Times New Roman" w:eastAsia="仿宋_GB2312" w:cs="方正仿宋_GBK"/>
                <w:color w:val="auto"/>
                <w:szCs w:val="21"/>
                <w:lang w:val="en-US" w:eastAsia="zh-CN"/>
              </w:rPr>
              <w:t>15</w:t>
            </w:r>
          </w:p>
        </w:tc>
        <w:tc>
          <w:tcPr>
            <w:tcW w:w="1324" w:type="dxa"/>
            <w:vMerge w:val="restart"/>
            <w:vAlign w:val="center"/>
          </w:tcPr>
          <w:p w14:paraId="3CEEFD18">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对房屋市政工程质量、安全及文明施工情况的行政检查</w:t>
            </w:r>
          </w:p>
        </w:tc>
        <w:tc>
          <w:tcPr>
            <w:tcW w:w="794" w:type="dxa"/>
            <w:vMerge w:val="restart"/>
            <w:vAlign w:val="center"/>
          </w:tcPr>
          <w:p w14:paraId="78E7E465">
            <w:pPr>
              <w:widowControl/>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苏州市相城区住房和城乡建设局</w:t>
            </w:r>
          </w:p>
        </w:tc>
        <w:tc>
          <w:tcPr>
            <w:tcW w:w="872" w:type="dxa"/>
            <w:vMerge w:val="restart"/>
            <w:vAlign w:val="center"/>
          </w:tcPr>
          <w:p w14:paraId="02783BCC">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相城区建设工程质量安全监督中心</w:t>
            </w:r>
          </w:p>
        </w:tc>
        <w:tc>
          <w:tcPr>
            <w:tcW w:w="869" w:type="dxa"/>
            <w:vMerge w:val="restart"/>
            <w:vAlign w:val="center"/>
          </w:tcPr>
          <w:p w14:paraId="19492562">
            <w:pPr>
              <w:widowControl/>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施工</w:t>
            </w:r>
          </w:p>
          <w:p w14:paraId="7CCC3CE0">
            <w:pPr>
              <w:widowControl/>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单位</w:t>
            </w:r>
          </w:p>
        </w:tc>
        <w:tc>
          <w:tcPr>
            <w:tcW w:w="4962" w:type="dxa"/>
            <w:vAlign w:val="center"/>
          </w:tcPr>
          <w:p w14:paraId="1033EC03">
            <w:pPr>
              <w:keepNext w:val="0"/>
              <w:keepLines w:val="0"/>
              <w:pageBreakBefore w:val="0"/>
              <w:widowControl/>
              <w:kinsoku/>
              <w:wordWrap/>
              <w:overflowPunct/>
              <w:topLinePunct w:val="0"/>
              <w:autoSpaceDE w:val="0"/>
              <w:autoSpaceDN w:val="0"/>
              <w:bidi w:val="0"/>
              <w:adjustRightInd/>
              <w:snapToGrid/>
              <w:spacing w:line="300" w:lineRule="exact"/>
              <w:ind w:firstLine="420"/>
              <w:jc w:val="left"/>
              <w:textAlignment w:val="auto"/>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第三十四条　施工单位有下列行为之一的，责令限期改正，处1万元以上3万元以下的罚款，并暂扣安全生产许可证30日；对直接负责的主管人员和其他直接责任人员处1000元以上5000元以下的罚款：</w:t>
            </w:r>
          </w:p>
          <w:p w14:paraId="5E1334FC">
            <w:pPr>
              <w:keepNext w:val="0"/>
              <w:keepLines w:val="0"/>
              <w:pageBreakBefore w:val="0"/>
              <w:widowControl/>
              <w:kinsoku/>
              <w:wordWrap/>
              <w:overflowPunct/>
              <w:topLinePunct w:val="0"/>
              <w:autoSpaceDE w:val="0"/>
              <w:autoSpaceDN w:val="0"/>
              <w:bidi w:val="0"/>
              <w:adjustRightInd/>
              <w:snapToGrid/>
              <w:spacing w:line="300" w:lineRule="exact"/>
              <w:ind w:firstLine="420" w:firstLineChars="200"/>
              <w:jc w:val="left"/>
              <w:textAlignment w:val="auto"/>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（一）未对超过一定规模的危大工程专项施工方案进行专家论证的；</w:t>
            </w:r>
          </w:p>
        </w:tc>
        <w:tc>
          <w:tcPr>
            <w:tcW w:w="992" w:type="dxa"/>
            <w:vAlign w:val="center"/>
          </w:tcPr>
          <w:p w14:paraId="1B8E04F1">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现场检查、书面检查</w:t>
            </w:r>
          </w:p>
        </w:tc>
        <w:tc>
          <w:tcPr>
            <w:tcW w:w="1139" w:type="dxa"/>
            <w:vAlign w:val="center"/>
          </w:tcPr>
          <w:p w14:paraId="6074D5E8">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双随机+重点检查</w:t>
            </w:r>
          </w:p>
        </w:tc>
        <w:tc>
          <w:tcPr>
            <w:tcW w:w="1491" w:type="dxa"/>
            <w:vAlign w:val="center"/>
          </w:tcPr>
          <w:p w14:paraId="7142BC2A">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320217736000</w:t>
            </w:r>
          </w:p>
        </w:tc>
        <w:tc>
          <w:tcPr>
            <w:tcW w:w="1481" w:type="dxa"/>
            <w:vAlign w:val="center"/>
          </w:tcPr>
          <w:p w14:paraId="1CB1C33C">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对施工单位未对超过一定规模的危大工程专项施工方案进行专家论证的处罚</w:t>
            </w:r>
          </w:p>
        </w:tc>
        <w:tc>
          <w:tcPr>
            <w:tcW w:w="622" w:type="dxa"/>
            <w:vAlign w:val="center"/>
          </w:tcPr>
          <w:p w14:paraId="79CC878C">
            <w:pPr>
              <w:widowControl/>
              <w:autoSpaceDE w:val="0"/>
              <w:autoSpaceDN w:val="0"/>
              <w:spacing w:line="280" w:lineRule="exact"/>
              <w:jc w:val="left"/>
              <w:rPr>
                <w:rFonts w:ascii="Times New Roman" w:hAnsi="Times New Roman" w:eastAsia="仿宋_GB2312" w:cs="方正仿宋_GBK"/>
                <w:color w:val="auto"/>
                <w:szCs w:val="21"/>
              </w:rPr>
            </w:pPr>
          </w:p>
        </w:tc>
      </w:tr>
      <w:tr w14:paraId="4BAFF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8" w:hRule="atLeast"/>
          <w:jc w:val="center"/>
        </w:trPr>
        <w:tc>
          <w:tcPr>
            <w:tcW w:w="536" w:type="dxa"/>
            <w:vMerge w:val="continue"/>
            <w:vAlign w:val="center"/>
          </w:tcPr>
          <w:p w14:paraId="0336B44E">
            <w:pPr>
              <w:widowControl/>
              <w:autoSpaceDE w:val="0"/>
              <w:autoSpaceDN w:val="0"/>
              <w:spacing w:line="280" w:lineRule="exact"/>
              <w:jc w:val="left"/>
              <w:rPr>
                <w:rFonts w:ascii="Times New Roman" w:hAnsi="Times New Roman" w:eastAsia="仿宋_GB2312" w:cs="方正仿宋_GBK"/>
                <w:color w:val="auto"/>
                <w:szCs w:val="21"/>
              </w:rPr>
            </w:pPr>
          </w:p>
        </w:tc>
        <w:tc>
          <w:tcPr>
            <w:tcW w:w="1324" w:type="dxa"/>
            <w:vMerge w:val="continue"/>
            <w:vAlign w:val="center"/>
          </w:tcPr>
          <w:p w14:paraId="40A783AB">
            <w:pPr>
              <w:widowControl/>
              <w:autoSpaceDE w:val="0"/>
              <w:autoSpaceDN w:val="0"/>
              <w:spacing w:line="280" w:lineRule="exact"/>
              <w:jc w:val="left"/>
              <w:rPr>
                <w:rFonts w:ascii="Times New Roman" w:hAnsi="Times New Roman" w:eastAsia="仿宋_GB2312" w:cs="方正仿宋_GBK"/>
                <w:color w:val="auto"/>
                <w:szCs w:val="21"/>
              </w:rPr>
            </w:pPr>
          </w:p>
        </w:tc>
        <w:tc>
          <w:tcPr>
            <w:tcW w:w="794" w:type="dxa"/>
            <w:vMerge w:val="continue"/>
            <w:vAlign w:val="center"/>
          </w:tcPr>
          <w:p w14:paraId="0A929381">
            <w:pPr>
              <w:widowControl/>
              <w:autoSpaceDE w:val="0"/>
              <w:autoSpaceDN w:val="0"/>
              <w:spacing w:line="280" w:lineRule="exact"/>
              <w:jc w:val="left"/>
              <w:rPr>
                <w:rFonts w:ascii="Times New Roman" w:hAnsi="Times New Roman" w:eastAsia="仿宋_GB2312" w:cs="方正仿宋_GBK"/>
                <w:color w:val="auto"/>
                <w:szCs w:val="21"/>
              </w:rPr>
            </w:pPr>
          </w:p>
        </w:tc>
        <w:tc>
          <w:tcPr>
            <w:tcW w:w="872" w:type="dxa"/>
            <w:vMerge w:val="continue"/>
            <w:vAlign w:val="center"/>
          </w:tcPr>
          <w:p w14:paraId="6FFD7DC0">
            <w:pPr>
              <w:widowControl/>
              <w:autoSpaceDE w:val="0"/>
              <w:autoSpaceDN w:val="0"/>
              <w:spacing w:line="280" w:lineRule="exact"/>
              <w:jc w:val="left"/>
              <w:rPr>
                <w:rFonts w:ascii="Times New Roman" w:hAnsi="Times New Roman" w:eastAsia="仿宋_GB2312" w:cs="方正仿宋_GBK"/>
                <w:color w:val="auto"/>
                <w:szCs w:val="21"/>
              </w:rPr>
            </w:pPr>
          </w:p>
        </w:tc>
        <w:tc>
          <w:tcPr>
            <w:tcW w:w="869" w:type="dxa"/>
            <w:vMerge w:val="continue"/>
            <w:vAlign w:val="center"/>
          </w:tcPr>
          <w:p w14:paraId="6AA93170">
            <w:pPr>
              <w:widowControl/>
              <w:autoSpaceDE w:val="0"/>
              <w:autoSpaceDN w:val="0"/>
              <w:spacing w:line="280" w:lineRule="exact"/>
              <w:jc w:val="left"/>
              <w:rPr>
                <w:rFonts w:ascii="Times New Roman" w:hAnsi="Times New Roman" w:eastAsia="仿宋_GB2312" w:cs="方正仿宋_GBK"/>
                <w:color w:val="auto"/>
                <w:szCs w:val="21"/>
              </w:rPr>
            </w:pPr>
          </w:p>
        </w:tc>
        <w:tc>
          <w:tcPr>
            <w:tcW w:w="4962" w:type="dxa"/>
            <w:vAlign w:val="center"/>
          </w:tcPr>
          <w:p w14:paraId="094714AB">
            <w:pPr>
              <w:widowControl/>
              <w:autoSpaceDE w:val="0"/>
              <w:autoSpaceDN w:val="0"/>
              <w:spacing w:line="27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【规章】《建筑工程质量管理条例》</w:t>
            </w:r>
          </w:p>
          <w:p w14:paraId="26AC29BC">
            <w:pPr>
              <w:widowControl/>
              <w:autoSpaceDE w:val="0"/>
              <w:autoSpaceDN w:val="0"/>
              <w:spacing w:line="27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第四十条  在正常使用条件下，建设工程的最低保修期限为：</w:t>
            </w:r>
          </w:p>
          <w:p w14:paraId="7732A53D">
            <w:pPr>
              <w:widowControl/>
              <w:autoSpaceDE w:val="0"/>
              <w:autoSpaceDN w:val="0"/>
              <w:spacing w:line="27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（一）基础设施工程、房屋建筑的地基基础工程和主体结构工程，为设计文件规定的该工程的合理使用年限；</w:t>
            </w:r>
          </w:p>
          <w:p w14:paraId="79E9BFC2">
            <w:pPr>
              <w:widowControl/>
              <w:autoSpaceDE w:val="0"/>
              <w:autoSpaceDN w:val="0"/>
              <w:spacing w:line="27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（二）屋面防水工程、有防水要求的卫生间、房间和外墙面的防渗漏，为5年；</w:t>
            </w:r>
          </w:p>
          <w:p w14:paraId="53C65FDB">
            <w:pPr>
              <w:widowControl/>
              <w:autoSpaceDE w:val="0"/>
              <w:autoSpaceDN w:val="0"/>
              <w:spacing w:line="27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（三）供热与供冷系统，为2个采暖期、供冷期；</w:t>
            </w:r>
          </w:p>
          <w:p w14:paraId="31EC90DE">
            <w:pPr>
              <w:widowControl/>
              <w:autoSpaceDE w:val="0"/>
              <w:autoSpaceDN w:val="0"/>
              <w:spacing w:line="27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（四）电气管线、给排水管道、设备安装和装修工程，为2年。</w:t>
            </w:r>
          </w:p>
          <w:p w14:paraId="1B51C2ED">
            <w:pPr>
              <w:widowControl/>
              <w:autoSpaceDE w:val="0"/>
              <w:autoSpaceDN w:val="0"/>
              <w:spacing w:line="27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其他项目的保修期限由发包方与承包方约定。建设工程的保修期，自竣工验收合格之日起计算。</w:t>
            </w:r>
          </w:p>
          <w:p w14:paraId="34B57F87">
            <w:pPr>
              <w:widowControl/>
              <w:autoSpaceDE w:val="0"/>
              <w:autoSpaceDN w:val="0"/>
              <w:spacing w:line="27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【规章】《房屋建筑工程质量保修办法》</w:t>
            </w:r>
          </w:p>
          <w:p w14:paraId="162FF1DC">
            <w:pPr>
              <w:widowControl/>
              <w:autoSpaceDE w:val="0"/>
              <w:autoSpaceDN w:val="0"/>
              <w:spacing w:line="27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第六条　建设单位和施工单位应当在工程质量保修书中约定保修范围、保修期限和保修责任等，双方约定的保修范围、保修期限必须符合国家有关规定。</w:t>
            </w:r>
          </w:p>
          <w:p w14:paraId="49079646">
            <w:pPr>
              <w:widowControl/>
              <w:autoSpaceDE w:val="0"/>
              <w:autoSpaceDN w:val="0"/>
              <w:spacing w:line="27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第十八条  施工单位有下列行为之一的，由建设行政主管部门责令改正，并处1万元以上3万元以下的罚款。</w:t>
            </w:r>
          </w:p>
          <w:p w14:paraId="3ABAA252">
            <w:pPr>
              <w:widowControl/>
              <w:autoSpaceDE w:val="0"/>
              <w:autoSpaceDN w:val="0"/>
              <w:spacing w:line="27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（二）质量保修的内容、期限违反本办法规定的。</w:t>
            </w:r>
          </w:p>
        </w:tc>
        <w:tc>
          <w:tcPr>
            <w:tcW w:w="992" w:type="dxa"/>
            <w:vAlign w:val="center"/>
          </w:tcPr>
          <w:p w14:paraId="31466E7E">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现场检查、书面检查</w:t>
            </w:r>
          </w:p>
        </w:tc>
        <w:tc>
          <w:tcPr>
            <w:tcW w:w="1139" w:type="dxa"/>
            <w:vAlign w:val="center"/>
          </w:tcPr>
          <w:p w14:paraId="7BF12C3A">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双随机+重点检查</w:t>
            </w:r>
          </w:p>
        </w:tc>
        <w:tc>
          <w:tcPr>
            <w:tcW w:w="1491" w:type="dxa"/>
            <w:vAlign w:val="center"/>
          </w:tcPr>
          <w:p w14:paraId="32528EAC">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320217709000</w:t>
            </w:r>
          </w:p>
        </w:tc>
        <w:tc>
          <w:tcPr>
            <w:tcW w:w="1481" w:type="dxa"/>
            <w:vAlign w:val="center"/>
          </w:tcPr>
          <w:p w14:paraId="16EA510D">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对施工单位质量保修的内容、期限违反《房屋建筑工程质量保修办法》规定的处罚</w:t>
            </w:r>
          </w:p>
        </w:tc>
        <w:tc>
          <w:tcPr>
            <w:tcW w:w="622" w:type="dxa"/>
            <w:vAlign w:val="center"/>
          </w:tcPr>
          <w:p w14:paraId="267DD4F0">
            <w:pPr>
              <w:widowControl/>
              <w:autoSpaceDE w:val="0"/>
              <w:autoSpaceDN w:val="0"/>
              <w:spacing w:line="280" w:lineRule="exact"/>
              <w:jc w:val="left"/>
              <w:rPr>
                <w:rFonts w:ascii="Times New Roman" w:hAnsi="Times New Roman" w:eastAsia="仿宋_GB2312" w:cs="方正仿宋_GBK"/>
                <w:color w:val="auto"/>
                <w:szCs w:val="21"/>
              </w:rPr>
            </w:pPr>
          </w:p>
        </w:tc>
      </w:tr>
      <w:tr w14:paraId="72B449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3" w:hRule="atLeast"/>
          <w:jc w:val="center"/>
        </w:trPr>
        <w:tc>
          <w:tcPr>
            <w:tcW w:w="536" w:type="dxa"/>
            <w:vMerge w:val="restart"/>
            <w:vAlign w:val="center"/>
          </w:tcPr>
          <w:p w14:paraId="5E6B4721">
            <w:pPr>
              <w:widowControl/>
              <w:autoSpaceDE w:val="0"/>
              <w:autoSpaceDN w:val="0"/>
              <w:spacing w:line="280" w:lineRule="exact"/>
              <w:jc w:val="center"/>
              <w:rPr>
                <w:rFonts w:hint="default" w:ascii="Times New Roman" w:hAnsi="Times New Roman" w:eastAsia="仿宋_GB2312" w:cs="方正仿宋_GBK"/>
                <w:color w:val="auto"/>
                <w:szCs w:val="21"/>
                <w:lang w:val="en-US" w:eastAsia="zh-CN"/>
              </w:rPr>
            </w:pPr>
            <w:r>
              <w:rPr>
                <w:rFonts w:hint="eastAsia" w:ascii="Times New Roman" w:hAnsi="Times New Roman" w:eastAsia="仿宋_GB2312" w:cs="方正仿宋_GBK"/>
                <w:color w:val="auto"/>
                <w:szCs w:val="21"/>
                <w:lang w:val="en-US" w:eastAsia="zh-CN"/>
              </w:rPr>
              <w:t>15</w:t>
            </w:r>
          </w:p>
        </w:tc>
        <w:tc>
          <w:tcPr>
            <w:tcW w:w="1324" w:type="dxa"/>
            <w:vMerge w:val="restart"/>
            <w:vAlign w:val="center"/>
          </w:tcPr>
          <w:p w14:paraId="63FEFBDB">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对房屋市政工程质量、安全及文明施工情况的行政检查</w:t>
            </w:r>
          </w:p>
        </w:tc>
        <w:tc>
          <w:tcPr>
            <w:tcW w:w="794" w:type="dxa"/>
            <w:vMerge w:val="restart"/>
            <w:vAlign w:val="center"/>
          </w:tcPr>
          <w:p w14:paraId="6E967F55">
            <w:pPr>
              <w:widowControl/>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苏州市相城区住房和城乡建设局</w:t>
            </w:r>
          </w:p>
        </w:tc>
        <w:tc>
          <w:tcPr>
            <w:tcW w:w="872" w:type="dxa"/>
            <w:vMerge w:val="restart"/>
            <w:vAlign w:val="center"/>
          </w:tcPr>
          <w:p w14:paraId="624FDCC7">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相城区建设工程质量安全监督中心</w:t>
            </w:r>
          </w:p>
        </w:tc>
        <w:tc>
          <w:tcPr>
            <w:tcW w:w="869" w:type="dxa"/>
            <w:vAlign w:val="center"/>
          </w:tcPr>
          <w:p w14:paraId="0A1F9D7B">
            <w:pPr>
              <w:widowControl/>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施工</w:t>
            </w:r>
          </w:p>
          <w:p w14:paraId="14229B7A">
            <w:pPr>
              <w:widowControl/>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单位</w:t>
            </w:r>
          </w:p>
        </w:tc>
        <w:tc>
          <w:tcPr>
            <w:tcW w:w="4962" w:type="dxa"/>
            <w:vAlign w:val="center"/>
          </w:tcPr>
          <w:p w14:paraId="5D4B6C83">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【规章】《危险性较大的分部分项工程安全管理规定》</w:t>
            </w:r>
          </w:p>
          <w:p w14:paraId="6DEF5EF3">
            <w:pPr>
              <w:widowControl/>
              <w:autoSpaceDE w:val="0"/>
              <w:autoSpaceDN w:val="0"/>
              <w:spacing w:line="280" w:lineRule="exact"/>
              <w:ind w:firstLine="42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第十六条　施工单位应当严格按照专项施工方案组织施工，不得擅自修改专项施工方案。</w:t>
            </w:r>
          </w:p>
          <w:p w14:paraId="7A603EC7">
            <w:pPr>
              <w:widowControl/>
              <w:autoSpaceDE w:val="0"/>
              <w:autoSpaceDN w:val="0"/>
              <w:spacing w:line="280" w:lineRule="exact"/>
              <w:ind w:firstLine="42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因规划调整、设计变更等原因确需调整的，修改后的专项施工方案应当按照本规定重新审核和论证。涉及资金或者工期调整的，建设单位应当按照约定予以调整。</w:t>
            </w:r>
          </w:p>
          <w:p w14:paraId="54E35288">
            <w:pPr>
              <w:widowControl/>
              <w:autoSpaceDE w:val="0"/>
              <w:autoSpaceDN w:val="0"/>
              <w:spacing w:line="280" w:lineRule="exact"/>
              <w:ind w:firstLine="42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第三十四条　施工单位有下列行为之一的，责令限期改正，处1万元以上3万元以下的罚款，并暂扣安全生产许可证30日；对直接负责的主管人员和其他直接责任人员处1000元以上5000元以下的罚款：</w:t>
            </w:r>
          </w:p>
          <w:p w14:paraId="6ABF78C0">
            <w:pPr>
              <w:widowControl/>
              <w:autoSpaceDE w:val="0"/>
              <w:autoSpaceDN w:val="0"/>
              <w:spacing w:line="280" w:lineRule="exact"/>
              <w:ind w:firstLine="42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（三）未严格按照专项施工方案组织施工，或者擅自修改专项施工方案的。</w:t>
            </w:r>
          </w:p>
        </w:tc>
        <w:tc>
          <w:tcPr>
            <w:tcW w:w="992" w:type="dxa"/>
            <w:vAlign w:val="center"/>
          </w:tcPr>
          <w:p w14:paraId="57E99A02">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现场检查、书面检查</w:t>
            </w:r>
          </w:p>
        </w:tc>
        <w:tc>
          <w:tcPr>
            <w:tcW w:w="1139" w:type="dxa"/>
            <w:vAlign w:val="center"/>
          </w:tcPr>
          <w:p w14:paraId="39FEDD96">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双随机+重点检查</w:t>
            </w:r>
          </w:p>
        </w:tc>
        <w:tc>
          <w:tcPr>
            <w:tcW w:w="1491" w:type="dxa"/>
            <w:vAlign w:val="center"/>
          </w:tcPr>
          <w:p w14:paraId="05030CF6">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320217708000</w:t>
            </w:r>
          </w:p>
        </w:tc>
        <w:tc>
          <w:tcPr>
            <w:tcW w:w="1481" w:type="dxa"/>
            <w:vAlign w:val="center"/>
          </w:tcPr>
          <w:p w14:paraId="255D9D51">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对施工单位未严格按照专项施工方案组织施工，或者擅自修改专项施工方案的处罚</w:t>
            </w:r>
          </w:p>
        </w:tc>
        <w:tc>
          <w:tcPr>
            <w:tcW w:w="622" w:type="dxa"/>
            <w:vAlign w:val="center"/>
          </w:tcPr>
          <w:p w14:paraId="6627A894">
            <w:pPr>
              <w:widowControl/>
              <w:autoSpaceDE w:val="0"/>
              <w:autoSpaceDN w:val="0"/>
              <w:spacing w:line="280" w:lineRule="exact"/>
              <w:jc w:val="left"/>
              <w:rPr>
                <w:rFonts w:ascii="Times New Roman" w:hAnsi="Times New Roman" w:eastAsia="仿宋_GB2312" w:cs="方正仿宋_GBK"/>
                <w:color w:val="auto"/>
                <w:szCs w:val="21"/>
              </w:rPr>
            </w:pPr>
          </w:p>
        </w:tc>
      </w:tr>
      <w:tr w14:paraId="09897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9" w:hRule="atLeast"/>
          <w:jc w:val="center"/>
        </w:trPr>
        <w:tc>
          <w:tcPr>
            <w:tcW w:w="536" w:type="dxa"/>
            <w:vMerge w:val="continue"/>
            <w:vAlign w:val="center"/>
          </w:tcPr>
          <w:p w14:paraId="3B9B8DE4">
            <w:pPr>
              <w:widowControl/>
              <w:autoSpaceDE w:val="0"/>
              <w:autoSpaceDN w:val="0"/>
              <w:spacing w:line="280" w:lineRule="exact"/>
              <w:jc w:val="left"/>
              <w:rPr>
                <w:rFonts w:ascii="Times New Roman" w:hAnsi="Times New Roman" w:eastAsia="仿宋_GB2312" w:cs="方正仿宋_GBK"/>
                <w:color w:val="auto"/>
                <w:szCs w:val="21"/>
              </w:rPr>
            </w:pPr>
          </w:p>
        </w:tc>
        <w:tc>
          <w:tcPr>
            <w:tcW w:w="1324" w:type="dxa"/>
            <w:vMerge w:val="continue"/>
            <w:vAlign w:val="center"/>
          </w:tcPr>
          <w:p w14:paraId="05A60D46">
            <w:pPr>
              <w:widowControl/>
              <w:autoSpaceDE w:val="0"/>
              <w:autoSpaceDN w:val="0"/>
              <w:spacing w:line="280" w:lineRule="exact"/>
              <w:jc w:val="left"/>
              <w:rPr>
                <w:rFonts w:ascii="Times New Roman" w:hAnsi="Times New Roman" w:eastAsia="仿宋_GB2312" w:cs="方正仿宋_GBK"/>
                <w:color w:val="auto"/>
                <w:szCs w:val="21"/>
              </w:rPr>
            </w:pPr>
          </w:p>
        </w:tc>
        <w:tc>
          <w:tcPr>
            <w:tcW w:w="794" w:type="dxa"/>
            <w:vMerge w:val="continue"/>
            <w:vAlign w:val="center"/>
          </w:tcPr>
          <w:p w14:paraId="795E0CC5">
            <w:pPr>
              <w:widowControl/>
              <w:autoSpaceDE w:val="0"/>
              <w:autoSpaceDN w:val="0"/>
              <w:spacing w:line="280" w:lineRule="exact"/>
              <w:jc w:val="left"/>
              <w:rPr>
                <w:rFonts w:ascii="Times New Roman" w:hAnsi="Times New Roman" w:eastAsia="仿宋_GB2312" w:cs="方正仿宋_GBK"/>
                <w:color w:val="auto"/>
                <w:szCs w:val="21"/>
              </w:rPr>
            </w:pPr>
          </w:p>
        </w:tc>
        <w:tc>
          <w:tcPr>
            <w:tcW w:w="872" w:type="dxa"/>
            <w:vMerge w:val="continue"/>
            <w:vAlign w:val="center"/>
          </w:tcPr>
          <w:p w14:paraId="73F54C47">
            <w:pPr>
              <w:widowControl/>
              <w:autoSpaceDE w:val="0"/>
              <w:autoSpaceDN w:val="0"/>
              <w:spacing w:line="280" w:lineRule="exact"/>
              <w:jc w:val="left"/>
              <w:rPr>
                <w:rFonts w:ascii="Times New Roman" w:hAnsi="Times New Roman" w:eastAsia="仿宋_GB2312" w:cs="方正仿宋_GBK"/>
                <w:color w:val="auto"/>
                <w:szCs w:val="21"/>
              </w:rPr>
            </w:pPr>
          </w:p>
        </w:tc>
        <w:tc>
          <w:tcPr>
            <w:tcW w:w="869" w:type="dxa"/>
            <w:vAlign w:val="center"/>
          </w:tcPr>
          <w:p w14:paraId="165D2B8B">
            <w:pPr>
              <w:widowControl/>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监理</w:t>
            </w:r>
          </w:p>
          <w:p w14:paraId="6239E42E">
            <w:pPr>
              <w:widowControl/>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单位</w:t>
            </w:r>
          </w:p>
        </w:tc>
        <w:tc>
          <w:tcPr>
            <w:tcW w:w="4962" w:type="dxa"/>
            <w:vAlign w:val="center"/>
          </w:tcPr>
          <w:p w14:paraId="67BB2BF2">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【规章】《危险性较大的分部分项工程安全管理规定》</w:t>
            </w:r>
          </w:p>
          <w:p w14:paraId="5EC3D9A8">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第二十四条　施工、监理单位应当建立危大工程安全管理档案。</w:t>
            </w:r>
          </w:p>
          <w:p w14:paraId="5DCEBE42">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施工单位应当将专项施工方案及审核、专家论证、交底、现场检查、验收及整改等相关资料纳入档案管理。</w:t>
            </w:r>
          </w:p>
          <w:p w14:paraId="4420EE7A">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监理单位应当将监理实施细则、专项施工方案审查、专项巡视检查、验收及整改等相关资料纳入档案管理。</w:t>
            </w:r>
          </w:p>
          <w:p w14:paraId="335463EA">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第三十七条　监理单位有下列行为之一的，责令限期改正，并处1万元以上3万元以下的罚款；对直接负责的主管人员和其他直接责任人员处1000元以上5000元以下的罚款：</w:t>
            </w:r>
          </w:p>
          <w:p w14:paraId="133E101C">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（四）未按照本规定建立危大工程安全管理档案的。</w:t>
            </w:r>
          </w:p>
        </w:tc>
        <w:tc>
          <w:tcPr>
            <w:tcW w:w="992" w:type="dxa"/>
            <w:vAlign w:val="center"/>
          </w:tcPr>
          <w:p w14:paraId="0DD83E83">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现场检查、书面检查</w:t>
            </w:r>
          </w:p>
        </w:tc>
        <w:tc>
          <w:tcPr>
            <w:tcW w:w="1139" w:type="dxa"/>
            <w:vAlign w:val="center"/>
          </w:tcPr>
          <w:p w14:paraId="72CE5146">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双随机+重点检查</w:t>
            </w:r>
          </w:p>
        </w:tc>
        <w:tc>
          <w:tcPr>
            <w:tcW w:w="1491" w:type="dxa"/>
            <w:vAlign w:val="center"/>
          </w:tcPr>
          <w:p w14:paraId="49404BC6">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320217706000</w:t>
            </w:r>
          </w:p>
        </w:tc>
        <w:tc>
          <w:tcPr>
            <w:tcW w:w="1481" w:type="dxa"/>
            <w:vAlign w:val="center"/>
          </w:tcPr>
          <w:p w14:paraId="437891DD">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对监理单位未建立危大工程安全管理档案的处罚</w:t>
            </w:r>
          </w:p>
        </w:tc>
        <w:tc>
          <w:tcPr>
            <w:tcW w:w="622" w:type="dxa"/>
            <w:vAlign w:val="center"/>
          </w:tcPr>
          <w:p w14:paraId="4C671BAF">
            <w:pPr>
              <w:widowControl/>
              <w:autoSpaceDE w:val="0"/>
              <w:autoSpaceDN w:val="0"/>
              <w:spacing w:line="280" w:lineRule="exact"/>
              <w:jc w:val="left"/>
              <w:rPr>
                <w:rFonts w:ascii="Times New Roman" w:hAnsi="Times New Roman" w:eastAsia="仿宋_GB2312" w:cs="方正仿宋_GBK"/>
                <w:color w:val="auto"/>
                <w:szCs w:val="21"/>
              </w:rPr>
            </w:pPr>
          </w:p>
        </w:tc>
      </w:tr>
      <w:tr w14:paraId="357D5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9" w:hRule="atLeast"/>
          <w:jc w:val="center"/>
        </w:trPr>
        <w:tc>
          <w:tcPr>
            <w:tcW w:w="536" w:type="dxa"/>
            <w:vMerge w:val="restart"/>
            <w:vAlign w:val="center"/>
          </w:tcPr>
          <w:p w14:paraId="146951D7">
            <w:pPr>
              <w:widowControl/>
              <w:autoSpaceDE w:val="0"/>
              <w:autoSpaceDN w:val="0"/>
              <w:spacing w:line="280" w:lineRule="exact"/>
              <w:jc w:val="center"/>
              <w:rPr>
                <w:rFonts w:hint="default" w:ascii="Times New Roman" w:hAnsi="Times New Roman" w:eastAsia="仿宋_GB2312" w:cs="方正仿宋_GBK"/>
                <w:color w:val="auto"/>
                <w:szCs w:val="21"/>
                <w:lang w:val="en-US" w:eastAsia="zh-CN"/>
              </w:rPr>
            </w:pPr>
            <w:r>
              <w:rPr>
                <w:rFonts w:hint="eastAsia" w:ascii="Times New Roman" w:hAnsi="Times New Roman" w:eastAsia="仿宋_GB2312" w:cs="方正仿宋_GBK"/>
                <w:color w:val="auto"/>
                <w:szCs w:val="21"/>
                <w:lang w:val="en-US" w:eastAsia="zh-CN"/>
              </w:rPr>
              <w:t>15</w:t>
            </w:r>
          </w:p>
        </w:tc>
        <w:tc>
          <w:tcPr>
            <w:tcW w:w="1324" w:type="dxa"/>
            <w:vMerge w:val="restart"/>
            <w:vAlign w:val="center"/>
          </w:tcPr>
          <w:p w14:paraId="1AAAD348">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对房屋市政工程质量、安全及文明施工情况的行政检查</w:t>
            </w:r>
          </w:p>
        </w:tc>
        <w:tc>
          <w:tcPr>
            <w:tcW w:w="794" w:type="dxa"/>
            <w:vMerge w:val="restart"/>
            <w:vAlign w:val="center"/>
          </w:tcPr>
          <w:p w14:paraId="79EA25EC">
            <w:pPr>
              <w:widowControl/>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苏州市相城区住房和城乡建设局</w:t>
            </w:r>
          </w:p>
        </w:tc>
        <w:tc>
          <w:tcPr>
            <w:tcW w:w="872" w:type="dxa"/>
            <w:vMerge w:val="restart"/>
            <w:vAlign w:val="center"/>
          </w:tcPr>
          <w:p w14:paraId="18F1857E">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相城区建设工程质量安全监督中心</w:t>
            </w:r>
          </w:p>
        </w:tc>
        <w:tc>
          <w:tcPr>
            <w:tcW w:w="869" w:type="dxa"/>
            <w:vMerge w:val="restart"/>
            <w:vAlign w:val="center"/>
          </w:tcPr>
          <w:p w14:paraId="2D82722E">
            <w:pPr>
              <w:widowControl/>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监理</w:t>
            </w:r>
          </w:p>
          <w:p w14:paraId="0ECC84F0">
            <w:pPr>
              <w:widowControl/>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单位</w:t>
            </w:r>
          </w:p>
        </w:tc>
        <w:tc>
          <w:tcPr>
            <w:tcW w:w="4962" w:type="dxa"/>
            <w:vAlign w:val="center"/>
          </w:tcPr>
          <w:p w14:paraId="7A9D23E0">
            <w:pPr>
              <w:widowControl/>
              <w:autoSpaceDE w:val="0"/>
              <w:autoSpaceDN w:val="0"/>
              <w:spacing w:line="26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【规章】《危险性较大的分部分项工程安全管理规定》</w:t>
            </w:r>
          </w:p>
          <w:p w14:paraId="00B862B0">
            <w:pPr>
              <w:widowControl/>
              <w:autoSpaceDE w:val="0"/>
              <w:autoSpaceDN w:val="0"/>
              <w:spacing w:line="260" w:lineRule="exact"/>
              <w:ind w:firstLine="42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第二十一条第一款　对于按照规定需要验收的危大工程，施工单位、监理单位应当组织相关人员进行验收。验收合格的，经施工单位项目技术负责人及总监理工程师签字确认后，方可进入下一道工序。</w:t>
            </w:r>
          </w:p>
          <w:p w14:paraId="39438299">
            <w:pPr>
              <w:widowControl/>
              <w:autoSpaceDE w:val="0"/>
              <w:autoSpaceDN w:val="0"/>
              <w:spacing w:line="260" w:lineRule="exact"/>
              <w:ind w:firstLine="42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第三十七条　监理单位有下列行为之一的，责令限期改正，并处1万元以上3万元以下的罚款；对直接负责的主管人员和其他直接责任人员处1000元以上5000元以下的罚款：</w:t>
            </w:r>
          </w:p>
          <w:p w14:paraId="3DD7AB28">
            <w:pPr>
              <w:widowControl/>
              <w:autoSpaceDE w:val="0"/>
              <w:autoSpaceDN w:val="0"/>
              <w:spacing w:line="260" w:lineRule="exact"/>
              <w:ind w:firstLine="42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（三）未按照本规定参与组织危大工程验收的；</w:t>
            </w:r>
          </w:p>
        </w:tc>
        <w:tc>
          <w:tcPr>
            <w:tcW w:w="992" w:type="dxa"/>
            <w:vMerge w:val="restart"/>
            <w:vAlign w:val="center"/>
          </w:tcPr>
          <w:p w14:paraId="3810E85D">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现场检查、书面检查</w:t>
            </w:r>
          </w:p>
        </w:tc>
        <w:tc>
          <w:tcPr>
            <w:tcW w:w="1139" w:type="dxa"/>
            <w:vMerge w:val="restart"/>
            <w:vAlign w:val="center"/>
          </w:tcPr>
          <w:p w14:paraId="5DEB7B43">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双随机+重点检查</w:t>
            </w:r>
          </w:p>
        </w:tc>
        <w:tc>
          <w:tcPr>
            <w:tcW w:w="1491" w:type="dxa"/>
            <w:vAlign w:val="center"/>
          </w:tcPr>
          <w:p w14:paraId="441988E7">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320217705000</w:t>
            </w:r>
          </w:p>
        </w:tc>
        <w:tc>
          <w:tcPr>
            <w:tcW w:w="1481" w:type="dxa"/>
            <w:vAlign w:val="center"/>
          </w:tcPr>
          <w:p w14:paraId="21306539">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对监理单位未参与组织危大工程验收的处罚</w:t>
            </w:r>
          </w:p>
        </w:tc>
        <w:tc>
          <w:tcPr>
            <w:tcW w:w="622" w:type="dxa"/>
            <w:vAlign w:val="center"/>
          </w:tcPr>
          <w:p w14:paraId="3A0CE139">
            <w:pPr>
              <w:widowControl/>
              <w:autoSpaceDE w:val="0"/>
              <w:autoSpaceDN w:val="0"/>
              <w:spacing w:line="280" w:lineRule="exact"/>
              <w:jc w:val="left"/>
              <w:rPr>
                <w:rFonts w:ascii="Times New Roman" w:hAnsi="Times New Roman" w:eastAsia="仿宋_GB2312" w:cs="方正仿宋_GBK"/>
                <w:color w:val="auto"/>
                <w:szCs w:val="21"/>
              </w:rPr>
            </w:pPr>
          </w:p>
        </w:tc>
      </w:tr>
      <w:tr w14:paraId="7E329D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11" w:hRule="atLeast"/>
          <w:jc w:val="center"/>
        </w:trPr>
        <w:tc>
          <w:tcPr>
            <w:tcW w:w="536" w:type="dxa"/>
            <w:vMerge w:val="continue"/>
            <w:vAlign w:val="center"/>
          </w:tcPr>
          <w:p w14:paraId="50F3CF08">
            <w:pPr>
              <w:widowControl/>
              <w:autoSpaceDE w:val="0"/>
              <w:autoSpaceDN w:val="0"/>
              <w:spacing w:line="280" w:lineRule="exact"/>
              <w:jc w:val="left"/>
              <w:rPr>
                <w:rFonts w:ascii="Times New Roman" w:hAnsi="Times New Roman" w:eastAsia="仿宋_GB2312" w:cs="方正仿宋_GBK"/>
                <w:color w:val="auto"/>
                <w:szCs w:val="21"/>
              </w:rPr>
            </w:pPr>
          </w:p>
        </w:tc>
        <w:tc>
          <w:tcPr>
            <w:tcW w:w="1324" w:type="dxa"/>
            <w:vMerge w:val="continue"/>
            <w:vAlign w:val="center"/>
          </w:tcPr>
          <w:p w14:paraId="0DB07CBD">
            <w:pPr>
              <w:widowControl/>
              <w:autoSpaceDE w:val="0"/>
              <w:autoSpaceDN w:val="0"/>
              <w:spacing w:line="280" w:lineRule="exact"/>
              <w:jc w:val="left"/>
              <w:rPr>
                <w:rFonts w:ascii="Times New Roman" w:hAnsi="Times New Roman" w:eastAsia="仿宋_GB2312" w:cs="方正仿宋_GBK"/>
                <w:color w:val="auto"/>
                <w:szCs w:val="21"/>
              </w:rPr>
            </w:pPr>
          </w:p>
        </w:tc>
        <w:tc>
          <w:tcPr>
            <w:tcW w:w="794" w:type="dxa"/>
            <w:vMerge w:val="continue"/>
            <w:vAlign w:val="center"/>
          </w:tcPr>
          <w:p w14:paraId="08876B5F">
            <w:pPr>
              <w:widowControl/>
              <w:autoSpaceDE w:val="0"/>
              <w:autoSpaceDN w:val="0"/>
              <w:spacing w:line="280" w:lineRule="exact"/>
              <w:jc w:val="left"/>
              <w:rPr>
                <w:rFonts w:ascii="Times New Roman" w:hAnsi="Times New Roman" w:eastAsia="仿宋_GB2312" w:cs="方正仿宋_GBK"/>
                <w:color w:val="auto"/>
                <w:szCs w:val="21"/>
              </w:rPr>
            </w:pPr>
          </w:p>
        </w:tc>
        <w:tc>
          <w:tcPr>
            <w:tcW w:w="872" w:type="dxa"/>
            <w:vMerge w:val="continue"/>
            <w:vAlign w:val="center"/>
          </w:tcPr>
          <w:p w14:paraId="594CEA2E">
            <w:pPr>
              <w:widowControl/>
              <w:autoSpaceDE w:val="0"/>
              <w:autoSpaceDN w:val="0"/>
              <w:spacing w:line="280" w:lineRule="exact"/>
              <w:jc w:val="left"/>
              <w:rPr>
                <w:rFonts w:ascii="Times New Roman" w:hAnsi="Times New Roman" w:eastAsia="仿宋_GB2312" w:cs="方正仿宋_GBK"/>
                <w:color w:val="auto"/>
                <w:szCs w:val="21"/>
              </w:rPr>
            </w:pPr>
          </w:p>
        </w:tc>
        <w:tc>
          <w:tcPr>
            <w:tcW w:w="869" w:type="dxa"/>
            <w:vMerge w:val="continue"/>
            <w:vAlign w:val="center"/>
          </w:tcPr>
          <w:p w14:paraId="61578BE7">
            <w:pPr>
              <w:autoSpaceDE w:val="0"/>
              <w:autoSpaceDN w:val="0"/>
              <w:spacing w:line="280" w:lineRule="exact"/>
              <w:jc w:val="left"/>
              <w:rPr>
                <w:rFonts w:ascii="Times New Roman" w:hAnsi="Times New Roman" w:eastAsia="仿宋_GB2312" w:cs="方正仿宋_GBK"/>
                <w:color w:val="auto"/>
                <w:szCs w:val="21"/>
              </w:rPr>
            </w:pPr>
          </w:p>
        </w:tc>
        <w:tc>
          <w:tcPr>
            <w:tcW w:w="4962" w:type="dxa"/>
            <w:vAlign w:val="center"/>
          </w:tcPr>
          <w:p w14:paraId="62600C6F">
            <w:pPr>
              <w:widowControl/>
              <w:autoSpaceDE w:val="0"/>
              <w:autoSpaceDN w:val="0"/>
              <w:spacing w:line="27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【规章】《危险性较大的分部分项工程安全管理规定》</w:t>
            </w:r>
          </w:p>
          <w:p w14:paraId="7C47F07C">
            <w:pPr>
              <w:widowControl/>
              <w:autoSpaceDE w:val="0"/>
              <w:autoSpaceDN w:val="0"/>
              <w:spacing w:line="270" w:lineRule="exact"/>
              <w:ind w:firstLine="42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第十八条　监理单位应当结合危大工程专项施工方案编制监理实施细则，并对危大工程施工实施专项巡视检查。</w:t>
            </w:r>
          </w:p>
          <w:p w14:paraId="1B30E5B1">
            <w:pPr>
              <w:widowControl/>
              <w:autoSpaceDE w:val="0"/>
              <w:autoSpaceDN w:val="0"/>
              <w:spacing w:line="270" w:lineRule="exact"/>
              <w:ind w:firstLine="42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第三十七条　监理单位有下列行为之一的，责令限期改正，并处1万元以上3万元以下的罚款；对直接负责的主管人员和其他直接责任人员处1000元以上5000元以下的罚款：</w:t>
            </w:r>
          </w:p>
          <w:p w14:paraId="6DAC8524">
            <w:pPr>
              <w:widowControl/>
              <w:autoSpaceDE w:val="0"/>
              <w:autoSpaceDN w:val="0"/>
              <w:spacing w:line="270" w:lineRule="exact"/>
              <w:ind w:firstLine="42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（二）未对危大工程施工实施专项巡视检查的；</w:t>
            </w:r>
          </w:p>
        </w:tc>
        <w:tc>
          <w:tcPr>
            <w:tcW w:w="992" w:type="dxa"/>
            <w:vMerge w:val="continue"/>
            <w:vAlign w:val="center"/>
          </w:tcPr>
          <w:p w14:paraId="46C52AC8">
            <w:pPr>
              <w:autoSpaceDE w:val="0"/>
              <w:autoSpaceDN w:val="0"/>
              <w:spacing w:line="280" w:lineRule="exact"/>
              <w:jc w:val="left"/>
              <w:rPr>
                <w:rFonts w:ascii="Times New Roman" w:hAnsi="Times New Roman" w:eastAsia="仿宋_GB2312" w:cs="方正仿宋_GBK"/>
                <w:color w:val="auto"/>
                <w:szCs w:val="21"/>
              </w:rPr>
            </w:pPr>
          </w:p>
        </w:tc>
        <w:tc>
          <w:tcPr>
            <w:tcW w:w="1139" w:type="dxa"/>
            <w:vMerge w:val="continue"/>
            <w:vAlign w:val="center"/>
          </w:tcPr>
          <w:p w14:paraId="58AEA3CF">
            <w:pPr>
              <w:autoSpaceDE w:val="0"/>
              <w:autoSpaceDN w:val="0"/>
              <w:spacing w:line="280" w:lineRule="exact"/>
              <w:jc w:val="left"/>
              <w:rPr>
                <w:rFonts w:ascii="Times New Roman" w:hAnsi="Times New Roman" w:eastAsia="仿宋_GB2312" w:cs="方正仿宋_GBK"/>
                <w:color w:val="auto"/>
                <w:szCs w:val="21"/>
              </w:rPr>
            </w:pPr>
          </w:p>
        </w:tc>
        <w:tc>
          <w:tcPr>
            <w:tcW w:w="1491" w:type="dxa"/>
            <w:vAlign w:val="center"/>
          </w:tcPr>
          <w:p w14:paraId="0027E7BB">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320217704000</w:t>
            </w:r>
          </w:p>
        </w:tc>
        <w:tc>
          <w:tcPr>
            <w:tcW w:w="1481" w:type="dxa"/>
            <w:vAlign w:val="center"/>
          </w:tcPr>
          <w:p w14:paraId="0C1AA4CB">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对监理单位未对危大工程施工实施专项巡视检查的处罚</w:t>
            </w:r>
          </w:p>
        </w:tc>
        <w:tc>
          <w:tcPr>
            <w:tcW w:w="622" w:type="dxa"/>
            <w:vAlign w:val="center"/>
          </w:tcPr>
          <w:p w14:paraId="158CB00A">
            <w:pPr>
              <w:widowControl/>
              <w:autoSpaceDE w:val="0"/>
              <w:autoSpaceDN w:val="0"/>
              <w:spacing w:line="280" w:lineRule="exact"/>
              <w:jc w:val="left"/>
              <w:rPr>
                <w:rFonts w:ascii="Times New Roman" w:hAnsi="Times New Roman" w:eastAsia="仿宋_GB2312" w:cs="方正仿宋_GBK"/>
                <w:color w:val="auto"/>
                <w:szCs w:val="21"/>
              </w:rPr>
            </w:pPr>
          </w:p>
        </w:tc>
      </w:tr>
      <w:tr w14:paraId="5F8BA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48" w:hRule="atLeast"/>
          <w:jc w:val="center"/>
        </w:trPr>
        <w:tc>
          <w:tcPr>
            <w:tcW w:w="536" w:type="dxa"/>
            <w:vMerge w:val="continue"/>
            <w:vAlign w:val="center"/>
          </w:tcPr>
          <w:p w14:paraId="1725924A">
            <w:pPr>
              <w:widowControl/>
              <w:autoSpaceDE w:val="0"/>
              <w:autoSpaceDN w:val="0"/>
              <w:spacing w:line="280" w:lineRule="exact"/>
              <w:jc w:val="left"/>
              <w:rPr>
                <w:rFonts w:ascii="Times New Roman" w:hAnsi="Times New Roman" w:eastAsia="仿宋_GB2312" w:cs="方正仿宋_GBK"/>
                <w:color w:val="auto"/>
                <w:szCs w:val="21"/>
              </w:rPr>
            </w:pPr>
          </w:p>
        </w:tc>
        <w:tc>
          <w:tcPr>
            <w:tcW w:w="1324" w:type="dxa"/>
            <w:vMerge w:val="continue"/>
            <w:vAlign w:val="center"/>
          </w:tcPr>
          <w:p w14:paraId="4285268D">
            <w:pPr>
              <w:widowControl/>
              <w:autoSpaceDE w:val="0"/>
              <w:autoSpaceDN w:val="0"/>
              <w:spacing w:line="280" w:lineRule="exact"/>
              <w:jc w:val="left"/>
              <w:rPr>
                <w:rFonts w:ascii="Times New Roman" w:hAnsi="Times New Roman" w:eastAsia="仿宋_GB2312" w:cs="方正仿宋_GBK"/>
                <w:color w:val="auto"/>
                <w:szCs w:val="21"/>
              </w:rPr>
            </w:pPr>
          </w:p>
        </w:tc>
        <w:tc>
          <w:tcPr>
            <w:tcW w:w="794" w:type="dxa"/>
            <w:vMerge w:val="continue"/>
            <w:vAlign w:val="center"/>
          </w:tcPr>
          <w:p w14:paraId="5A435CE7">
            <w:pPr>
              <w:widowControl/>
              <w:autoSpaceDE w:val="0"/>
              <w:autoSpaceDN w:val="0"/>
              <w:spacing w:line="280" w:lineRule="exact"/>
              <w:jc w:val="left"/>
              <w:rPr>
                <w:rFonts w:ascii="Times New Roman" w:hAnsi="Times New Roman" w:eastAsia="仿宋_GB2312" w:cs="方正仿宋_GBK"/>
                <w:color w:val="auto"/>
                <w:szCs w:val="21"/>
              </w:rPr>
            </w:pPr>
          </w:p>
        </w:tc>
        <w:tc>
          <w:tcPr>
            <w:tcW w:w="872" w:type="dxa"/>
            <w:vMerge w:val="continue"/>
            <w:vAlign w:val="center"/>
          </w:tcPr>
          <w:p w14:paraId="70932F63">
            <w:pPr>
              <w:widowControl/>
              <w:autoSpaceDE w:val="0"/>
              <w:autoSpaceDN w:val="0"/>
              <w:spacing w:line="280" w:lineRule="exact"/>
              <w:jc w:val="left"/>
              <w:rPr>
                <w:rFonts w:ascii="Times New Roman" w:hAnsi="Times New Roman" w:eastAsia="仿宋_GB2312" w:cs="方正仿宋_GBK"/>
                <w:color w:val="auto"/>
                <w:szCs w:val="21"/>
              </w:rPr>
            </w:pPr>
          </w:p>
        </w:tc>
        <w:tc>
          <w:tcPr>
            <w:tcW w:w="869" w:type="dxa"/>
            <w:vMerge w:val="continue"/>
            <w:vAlign w:val="center"/>
          </w:tcPr>
          <w:p w14:paraId="1084F15B">
            <w:pPr>
              <w:widowControl/>
              <w:autoSpaceDE w:val="0"/>
              <w:autoSpaceDN w:val="0"/>
              <w:spacing w:line="280" w:lineRule="exact"/>
              <w:jc w:val="left"/>
              <w:rPr>
                <w:rFonts w:ascii="Times New Roman" w:hAnsi="Times New Roman" w:eastAsia="仿宋_GB2312" w:cs="方正仿宋_GBK"/>
                <w:color w:val="auto"/>
                <w:szCs w:val="21"/>
              </w:rPr>
            </w:pPr>
          </w:p>
        </w:tc>
        <w:tc>
          <w:tcPr>
            <w:tcW w:w="4962" w:type="dxa"/>
            <w:vAlign w:val="center"/>
          </w:tcPr>
          <w:p w14:paraId="467D5AD6">
            <w:pPr>
              <w:widowControl/>
              <w:autoSpaceDE w:val="0"/>
              <w:autoSpaceDN w:val="0"/>
              <w:spacing w:line="27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【规章】《危险性较大的分部分项工程安全管理规定》</w:t>
            </w:r>
          </w:p>
          <w:p w14:paraId="2733E59E">
            <w:pPr>
              <w:widowControl/>
              <w:autoSpaceDE w:val="0"/>
              <w:autoSpaceDN w:val="0"/>
              <w:spacing w:line="270" w:lineRule="exact"/>
              <w:ind w:firstLine="42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第十八条　监理单位应当结合危大工程专项施工方案编制监理实施细则，并对危大工程施工实施专项巡视检查。</w:t>
            </w:r>
          </w:p>
          <w:p w14:paraId="68AE8E8A">
            <w:pPr>
              <w:widowControl/>
              <w:autoSpaceDE w:val="0"/>
              <w:autoSpaceDN w:val="0"/>
              <w:spacing w:line="27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第三十七条　监理单位有下列行为之一的，责令限期改正，并处1万元以上3万元以下的罚款；对直接负责的主管人员和其他直接责任人员处1000元以上5000元以下的罚款：</w:t>
            </w:r>
          </w:p>
          <w:p w14:paraId="6A874B6A">
            <w:pPr>
              <w:widowControl/>
              <w:autoSpaceDE w:val="0"/>
              <w:autoSpaceDN w:val="0"/>
              <w:spacing w:line="270" w:lineRule="exact"/>
              <w:ind w:firstLine="42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（一）未按照本规定编制监理实施细则的；</w:t>
            </w:r>
          </w:p>
        </w:tc>
        <w:tc>
          <w:tcPr>
            <w:tcW w:w="992" w:type="dxa"/>
            <w:vMerge w:val="continue"/>
            <w:vAlign w:val="center"/>
          </w:tcPr>
          <w:p w14:paraId="30649213">
            <w:pPr>
              <w:widowControl/>
              <w:autoSpaceDE w:val="0"/>
              <w:autoSpaceDN w:val="0"/>
              <w:spacing w:line="280" w:lineRule="exact"/>
              <w:jc w:val="left"/>
              <w:rPr>
                <w:rFonts w:ascii="Times New Roman" w:hAnsi="Times New Roman" w:eastAsia="仿宋_GB2312" w:cs="方正仿宋_GBK"/>
                <w:color w:val="auto"/>
                <w:szCs w:val="21"/>
              </w:rPr>
            </w:pPr>
          </w:p>
        </w:tc>
        <w:tc>
          <w:tcPr>
            <w:tcW w:w="1139" w:type="dxa"/>
            <w:vMerge w:val="continue"/>
            <w:vAlign w:val="center"/>
          </w:tcPr>
          <w:p w14:paraId="07C70E08">
            <w:pPr>
              <w:widowControl/>
              <w:autoSpaceDE w:val="0"/>
              <w:autoSpaceDN w:val="0"/>
              <w:spacing w:line="280" w:lineRule="exact"/>
              <w:jc w:val="left"/>
              <w:rPr>
                <w:rFonts w:ascii="Times New Roman" w:hAnsi="Times New Roman" w:eastAsia="仿宋_GB2312" w:cs="方正仿宋_GBK"/>
                <w:color w:val="auto"/>
                <w:szCs w:val="21"/>
              </w:rPr>
            </w:pPr>
          </w:p>
        </w:tc>
        <w:tc>
          <w:tcPr>
            <w:tcW w:w="1491" w:type="dxa"/>
            <w:vAlign w:val="center"/>
          </w:tcPr>
          <w:p w14:paraId="58C53D52">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320217703000</w:t>
            </w:r>
          </w:p>
        </w:tc>
        <w:tc>
          <w:tcPr>
            <w:tcW w:w="1481" w:type="dxa"/>
            <w:vAlign w:val="center"/>
          </w:tcPr>
          <w:p w14:paraId="5B2B1EFD">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对监理单位未编制监理实施细则的处罚</w:t>
            </w:r>
          </w:p>
        </w:tc>
        <w:tc>
          <w:tcPr>
            <w:tcW w:w="622" w:type="dxa"/>
            <w:vAlign w:val="center"/>
          </w:tcPr>
          <w:p w14:paraId="4B68582B">
            <w:pPr>
              <w:widowControl/>
              <w:autoSpaceDE w:val="0"/>
              <w:autoSpaceDN w:val="0"/>
              <w:spacing w:line="280" w:lineRule="exact"/>
              <w:jc w:val="left"/>
              <w:rPr>
                <w:rFonts w:ascii="Times New Roman" w:hAnsi="Times New Roman" w:eastAsia="仿宋_GB2312" w:cs="方正仿宋_GBK"/>
                <w:color w:val="auto"/>
                <w:szCs w:val="21"/>
              </w:rPr>
            </w:pPr>
          </w:p>
        </w:tc>
      </w:tr>
      <w:tr w14:paraId="47B6E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1" w:hRule="atLeast"/>
          <w:jc w:val="center"/>
        </w:trPr>
        <w:tc>
          <w:tcPr>
            <w:tcW w:w="536" w:type="dxa"/>
            <w:vMerge w:val="restart"/>
            <w:vAlign w:val="center"/>
          </w:tcPr>
          <w:p w14:paraId="4C1A7B0B">
            <w:pPr>
              <w:widowControl/>
              <w:autoSpaceDE w:val="0"/>
              <w:autoSpaceDN w:val="0"/>
              <w:spacing w:line="280" w:lineRule="exact"/>
              <w:jc w:val="center"/>
              <w:rPr>
                <w:rFonts w:hint="default" w:ascii="Times New Roman" w:hAnsi="Times New Roman" w:eastAsia="仿宋_GB2312" w:cs="方正仿宋_GBK"/>
                <w:color w:val="auto"/>
                <w:szCs w:val="21"/>
                <w:lang w:val="en-US" w:eastAsia="zh-CN"/>
              </w:rPr>
            </w:pPr>
            <w:r>
              <w:rPr>
                <w:rFonts w:hint="eastAsia" w:ascii="Times New Roman" w:hAnsi="Times New Roman" w:eastAsia="仿宋_GB2312" w:cs="方正仿宋_GBK"/>
                <w:color w:val="auto"/>
                <w:szCs w:val="21"/>
                <w:lang w:val="en-US" w:eastAsia="zh-CN"/>
              </w:rPr>
              <w:t>15</w:t>
            </w:r>
          </w:p>
        </w:tc>
        <w:tc>
          <w:tcPr>
            <w:tcW w:w="1324" w:type="dxa"/>
            <w:vMerge w:val="restart"/>
            <w:vAlign w:val="center"/>
          </w:tcPr>
          <w:p w14:paraId="48BB4F7A">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对房屋市政工程质量、安全及文明施工情况的行政检查</w:t>
            </w:r>
          </w:p>
        </w:tc>
        <w:tc>
          <w:tcPr>
            <w:tcW w:w="794" w:type="dxa"/>
            <w:vMerge w:val="restart"/>
            <w:vAlign w:val="center"/>
          </w:tcPr>
          <w:p w14:paraId="6AA58234">
            <w:pPr>
              <w:widowControl/>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苏州市相城区住房和城乡建设局</w:t>
            </w:r>
          </w:p>
        </w:tc>
        <w:tc>
          <w:tcPr>
            <w:tcW w:w="872" w:type="dxa"/>
            <w:vMerge w:val="restart"/>
            <w:vAlign w:val="center"/>
          </w:tcPr>
          <w:p w14:paraId="5696564A">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相城区建设工程质量安全监督中心</w:t>
            </w:r>
          </w:p>
        </w:tc>
        <w:tc>
          <w:tcPr>
            <w:tcW w:w="869" w:type="dxa"/>
            <w:vAlign w:val="center"/>
          </w:tcPr>
          <w:p w14:paraId="1588D4F2">
            <w:pPr>
              <w:widowControl/>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施工</w:t>
            </w:r>
          </w:p>
          <w:p w14:paraId="34CADFD9">
            <w:pPr>
              <w:widowControl/>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单位</w:t>
            </w:r>
          </w:p>
        </w:tc>
        <w:tc>
          <w:tcPr>
            <w:tcW w:w="4962" w:type="dxa"/>
            <w:vAlign w:val="center"/>
          </w:tcPr>
          <w:p w14:paraId="3F18CFD6">
            <w:pPr>
              <w:widowControl/>
              <w:autoSpaceDE w:val="0"/>
              <w:autoSpaceDN w:val="0"/>
              <w:spacing w:line="280" w:lineRule="exact"/>
              <w:jc w:val="left"/>
              <w:rPr>
                <w:rFonts w:hint="eastAsia" w:ascii="Times New Roman" w:hAnsi="Times New Roman" w:eastAsia="仿宋_GB2312" w:cs="方正仿宋_GBK"/>
                <w:color w:val="auto"/>
                <w:szCs w:val="21"/>
                <w:lang w:eastAsia="zh-CN"/>
              </w:rPr>
            </w:pPr>
            <w:r>
              <w:rPr>
                <w:rFonts w:hint="eastAsia" w:ascii="Times New Roman" w:hAnsi="Times New Roman" w:eastAsia="仿宋_GB2312" w:cs="方正仿宋_GBK"/>
                <w:color w:val="auto"/>
                <w:szCs w:val="21"/>
              </w:rPr>
              <w:t>【规章】《危险性较大的分部分项工程安全管理规定》</w:t>
            </w:r>
          </w:p>
          <w:p w14:paraId="534D2841">
            <w:pPr>
              <w:widowControl/>
              <w:autoSpaceDE w:val="0"/>
              <w:autoSpaceDN w:val="0"/>
              <w:spacing w:line="280" w:lineRule="exact"/>
              <w:jc w:val="left"/>
              <w:rPr>
                <w:rFonts w:hint="eastAsia" w:ascii="Times New Roman" w:hAnsi="Times New Roman" w:eastAsia="仿宋_GB2312" w:cs="方正仿宋_GBK"/>
                <w:color w:val="auto"/>
                <w:szCs w:val="21"/>
                <w:lang w:eastAsia="zh-CN"/>
              </w:rPr>
            </w:pPr>
            <w:r>
              <w:rPr>
                <w:rFonts w:hint="eastAsia" w:ascii="Times New Roman" w:hAnsi="Times New Roman" w:eastAsia="仿宋_GB2312" w:cs="方正仿宋_GBK"/>
                <w:color w:val="auto"/>
                <w:szCs w:val="21"/>
              </w:rPr>
              <w:t>　　第二十一条　对于按照规定需要验收的危大工程，施工单位、监理单位应当组织相关人员进行验收。验收合格的，经施工单位项目技术负责人及总监理工程师签字确认后，方可进入下一道工序。</w:t>
            </w:r>
          </w:p>
          <w:p w14:paraId="7EFC4F1C">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　　危大工程验收合格后，施工单位应当在施工现场明显位置设置验收标识牌，公示验收时间及责任人员。</w:t>
            </w:r>
          </w:p>
          <w:p w14:paraId="754A0C45">
            <w:pPr>
              <w:widowControl/>
              <w:autoSpaceDE w:val="0"/>
              <w:autoSpaceDN w:val="0"/>
              <w:spacing w:line="280" w:lineRule="exact"/>
              <w:ind w:firstLine="42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第三十五条　施工单位有下列行为之一的，责令限期改正，并处1万元以上3万元以下的罚款；对直接负责的主管人员和其他直接责任人员处1000元以上5000元以下的罚款：</w:t>
            </w:r>
          </w:p>
          <w:p w14:paraId="059E7437">
            <w:pPr>
              <w:widowControl/>
              <w:autoSpaceDE w:val="0"/>
              <w:autoSpaceDN w:val="0"/>
              <w:spacing w:line="280" w:lineRule="exact"/>
              <w:ind w:firstLine="42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（三）未按照本规定组织危大工程验收的；</w:t>
            </w:r>
          </w:p>
        </w:tc>
        <w:tc>
          <w:tcPr>
            <w:tcW w:w="992" w:type="dxa"/>
            <w:vAlign w:val="center"/>
          </w:tcPr>
          <w:p w14:paraId="72640BDE">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现场检查、书面检查</w:t>
            </w:r>
          </w:p>
        </w:tc>
        <w:tc>
          <w:tcPr>
            <w:tcW w:w="1139" w:type="dxa"/>
            <w:vAlign w:val="center"/>
          </w:tcPr>
          <w:p w14:paraId="713B8933">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双随机+重点检查</w:t>
            </w:r>
          </w:p>
        </w:tc>
        <w:tc>
          <w:tcPr>
            <w:tcW w:w="1491" w:type="dxa"/>
            <w:vAlign w:val="center"/>
          </w:tcPr>
          <w:p w14:paraId="4ADC6A2E">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320217702000</w:t>
            </w:r>
          </w:p>
        </w:tc>
        <w:tc>
          <w:tcPr>
            <w:tcW w:w="1481" w:type="dxa"/>
            <w:vAlign w:val="center"/>
          </w:tcPr>
          <w:p w14:paraId="343F5527">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对施工单位未按照本规定组织危大工程验收的处罚</w:t>
            </w:r>
          </w:p>
        </w:tc>
        <w:tc>
          <w:tcPr>
            <w:tcW w:w="622" w:type="dxa"/>
            <w:vAlign w:val="center"/>
          </w:tcPr>
          <w:p w14:paraId="73953543">
            <w:pPr>
              <w:widowControl/>
              <w:autoSpaceDE w:val="0"/>
              <w:autoSpaceDN w:val="0"/>
              <w:spacing w:line="280" w:lineRule="exact"/>
              <w:jc w:val="left"/>
              <w:rPr>
                <w:rFonts w:ascii="Times New Roman" w:hAnsi="Times New Roman" w:eastAsia="仿宋_GB2312" w:cs="方正仿宋_GBK"/>
                <w:color w:val="auto"/>
                <w:szCs w:val="21"/>
              </w:rPr>
            </w:pPr>
          </w:p>
        </w:tc>
      </w:tr>
      <w:tr w14:paraId="175AC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9" w:hRule="atLeast"/>
          <w:jc w:val="center"/>
        </w:trPr>
        <w:tc>
          <w:tcPr>
            <w:tcW w:w="536" w:type="dxa"/>
            <w:vMerge w:val="continue"/>
            <w:vAlign w:val="center"/>
          </w:tcPr>
          <w:p w14:paraId="35B2C7CC">
            <w:pPr>
              <w:widowControl/>
              <w:autoSpaceDE w:val="0"/>
              <w:autoSpaceDN w:val="0"/>
              <w:spacing w:line="280" w:lineRule="exact"/>
              <w:jc w:val="left"/>
              <w:rPr>
                <w:rFonts w:ascii="Times New Roman" w:hAnsi="Times New Roman" w:eastAsia="仿宋_GB2312" w:cs="方正仿宋_GBK"/>
                <w:color w:val="auto"/>
                <w:szCs w:val="21"/>
              </w:rPr>
            </w:pPr>
          </w:p>
        </w:tc>
        <w:tc>
          <w:tcPr>
            <w:tcW w:w="1324" w:type="dxa"/>
            <w:vMerge w:val="continue"/>
            <w:vAlign w:val="center"/>
          </w:tcPr>
          <w:p w14:paraId="68EFF7B0">
            <w:pPr>
              <w:widowControl/>
              <w:autoSpaceDE w:val="0"/>
              <w:autoSpaceDN w:val="0"/>
              <w:spacing w:line="280" w:lineRule="exact"/>
              <w:jc w:val="left"/>
              <w:rPr>
                <w:rFonts w:ascii="Times New Roman" w:hAnsi="Times New Roman" w:eastAsia="仿宋_GB2312" w:cs="方正仿宋_GBK"/>
                <w:color w:val="auto"/>
                <w:szCs w:val="21"/>
              </w:rPr>
            </w:pPr>
          </w:p>
        </w:tc>
        <w:tc>
          <w:tcPr>
            <w:tcW w:w="794" w:type="dxa"/>
            <w:vMerge w:val="continue"/>
            <w:vAlign w:val="center"/>
          </w:tcPr>
          <w:p w14:paraId="63D6BD3E">
            <w:pPr>
              <w:widowControl/>
              <w:autoSpaceDE w:val="0"/>
              <w:autoSpaceDN w:val="0"/>
              <w:spacing w:line="280" w:lineRule="exact"/>
              <w:jc w:val="left"/>
              <w:rPr>
                <w:rFonts w:ascii="Times New Roman" w:hAnsi="Times New Roman" w:eastAsia="仿宋_GB2312" w:cs="方正仿宋_GBK"/>
                <w:color w:val="auto"/>
                <w:szCs w:val="21"/>
              </w:rPr>
            </w:pPr>
          </w:p>
        </w:tc>
        <w:tc>
          <w:tcPr>
            <w:tcW w:w="872" w:type="dxa"/>
            <w:vMerge w:val="continue"/>
            <w:vAlign w:val="center"/>
          </w:tcPr>
          <w:p w14:paraId="6791B174">
            <w:pPr>
              <w:widowControl/>
              <w:autoSpaceDE w:val="0"/>
              <w:autoSpaceDN w:val="0"/>
              <w:spacing w:line="280" w:lineRule="exact"/>
              <w:jc w:val="left"/>
              <w:rPr>
                <w:rFonts w:ascii="Times New Roman" w:hAnsi="Times New Roman" w:eastAsia="仿宋_GB2312" w:cs="方正仿宋_GBK"/>
                <w:color w:val="auto"/>
                <w:szCs w:val="21"/>
              </w:rPr>
            </w:pPr>
          </w:p>
        </w:tc>
        <w:tc>
          <w:tcPr>
            <w:tcW w:w="869" w:type="dxa"/>
            <w:vAlign w:val="center"/>
          </w:tcPr>
          <w:p w14:paraId="03218657">
            <w:pPr>
              <w:widowControl/>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监理</w:t>
            </w:r>
          </w:p>
          <w:p w14:paraId="464E3E44">
            <w:pPr>
              <w:widowControl/>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单位</w:t>
            </w:r>
          </w:p>
        </w:tc>
        <w:tc>
          <w:tcPr>
            <w:tcW w:w="4962" w:type="dxa"/>
            <w:vAlign w:val="center"/>
          </w:tcPr>
          <w:p w14:paraId="45558494">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【行政法规】《建设工程安全生产管理条例》</w:t>
            </w:r>
          </w:p>
          <w:p w14:paraId="577EF219">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第十四条第二款　工程监理单位在实施监理过程中，发现存在安全事故隐患的，应当要求施工单位整改；情况严重的，应当要求施工单位暂时停止施工，并及时报告建设单位。施工单位拒不整改或者不停止施工的，工程监理单位应当及时向有关主管部门报告。</w:t>
            </w:r>
          </w:p>
          <w:p w14:paraId="2C7C6ED1">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第五十七条　违反本条例的规定，工程监理单位有下列行为之一的，责令限期改正；逾期未改正的，责令停业整顿，并处10万元以上30万元以下的罚款；情节严重的，降低资质等级，直至吊销资质证书；造成重大安全事故，构成犯罪的，对直接责任人员，依照刑法有关规定追究刑事责任；造成损失的，依法承担赔偿责任：</w:t>
            </w:r>
          </w:p>
        </w:tc>
        <w:tc>
          <w:tcPr>
            <w:tcW w:w="992" w:type="dxa"/>
            <w:vAlign w:val="center"/>
          </w:tcPr>
          <w:p w14:paraId="6B9C4B2E">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现场检查、书面检查</w:t>
            </w:r>
          </w:p>
        </w:tc>
        <w:tc>
          <w:tcPr>
            <w:tcW w:w="1139" w:type="dxa"/>
            <w:vAlign w:val="center"/>
          </w:tcPr>
          <w:p w14:paraId="7BEEE5FA">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双随机+重点检查</w:t>
            </w:r>
          </w:p>
        </w:tc>
        <w:tc>
          <w:tcPr>
            <w:tcW w:w="1491" w:type="dxa"/>
            <w:vAlign w:val="center"/>
          </w:tcPr>
          <w:p w14:paraId="51417B87">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320217701000</w:t>
            </w:r>
          </w:p>
        </w:tc>
        <w:tc>
          <w:tcPr>
            <w:tcW w:w="1481" w:type="dxa"/>
            <w:vAlign w:val="center"/>
          </w:tcPr>
          <w:p w14:paraId="5287B3E1">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对工程监理单位发现施工单位拒不整改或者不停止施工，未及时向有关主管部门报告的处罚</w:t>
            </w:r>
          </w:p>
        </w:tc>
        <w:tc>
          <w:tcPr>
            <w:tcW w:w="622" w:type="dxa"/>
            <w:vAlign w:val="center"/>
          </w:tcPr>
          <w:p w14:paraId="4BD64897">
            <w:pPr>
              <w:widowControl/>
              <w:autoSpaceDE w:val="0"/>
              <w:autoSpaceDN w:val="0"/>
              <w:spacing w:line="280" w:lineRule="exact"/>
              <w:jc w:val="left"/>
              <w:rPr>
                <w:rFonts w:ascii="Times New Roman" w:hAnsi="Times New Roman" w:eastAsia="仿宋_GB2312" w:cs="方正仿宋_GBK"/>
                <w:color w:val="auto"/>
                <w:szCs w:val="21"/>
              </w:rPr>
            </w:pPr>
          </w:p>
        </w:tc>
      </w:tr>
      <w:tr w14:paraId="1E9524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6" w:type="dxa"/>
            <w:vMerge w:val="restart"/>
            <w:vAlign w:val="center"/>
          </w:tcPr>
          <w:p w14:paraId="53CB43FC">
            <w:pPr>
              <w:widowControl/>
              <w:autoSpaceDE w:val="0"/>
              <w:autoSpaceDN w:val="0"/>
              <w:spacing w:line="280" w:lineRule="exact"/>
              <w:jc w:val="center"/>
              <w:rPr>
                <w:rFonts w:hint="default" w:ascii="Times New Roman" w:hAnsi="Times New Roman" w:eastAsia="仿宋_GB2312" w:cs="方正仿宋_GBK"/>
                <w:color w:val="auto"/>
                <w:szCs w:val="21"/>
                <w:lang w:val="en-US" w:eastAsia="zh-CN"/>
              </w:rPr>
            </w:pPr>
            <w:r>
              <w:rPr>
                <w:rFonts w:hint="eastAsia" w:ascii="Times New Roman" w:hAnsi="Times New Roman" w:eastAsia="仿宋_GB2312" w:cs="方正仿宋_GBK"/>
                <w:color w:val="auto"/>
                <w:szCs w:val="21"/>
                <w:lang w:val="en-US" w:eastAsia="zh-CN"/>
              </w:rPr>
              <w:t>15</w:t>
            </w:r>
          </w:p>
        </w:tc>
        <w:tc>
          <w:tcPr>
            <w:tcW w:w="1324" w:type="dxa"/>
            <w:vMerge w:val="restart"/>
            <w:vAlign w:val="center"/>
          </w:tcPr>
          <w:p w14:paraId="5ADD3ABA">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对房屋市政工程质量、安全及文明施工情况的行政检查</w:t>
            </w:r>
          </w:p>
        </w:tc>
        <w:tc>
          <w:tcPr>
            <w:tcW w:w="794" w:type="dxa"/>
            <w:vMerge w:val="restart"/>
            <w:vAlign w:val="center"/>
          </w:tcPr>
          <w:p w14:paraId="3433CBB1">
            <w:pPr>
              <w:widowControl/>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苏州市相城区住房和城乡建设局</w:t>
            </w:r>
          </w:p>
        </w:tc>
        <w:tc>
          <w:tcPr>
            <w:tcW w:w="872" w:type="dxa"/>
            <w:vMerge w:val="restart"/>
            <w:vAlign w:val="center"/>
          </w:tcPr>
          <w:p w14:paraId="60235ACD">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相城区建设工程质量安全监督中心</w:t>
            </w:r>
          </w:p>
        </w:tc>
        <w:tc>
          <w:tcPr>
            <w:tcW w:w="869" w:type="dxa"/>
            <w:vMerge w:val="restart"/>
            <w:vAlign w:val="center"/>
          </w:tcPr>
          <w:p w14:paraId="762CD611">
            <w:pPr>
              <w:widowControl/>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监理</w:t>
            </w:r>
          </w:p>
          <w:p w14:paraId="280D83A7">
            <w:pPr>
              <w:widowControl/>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单位</w:t>
            </w:r>
          </w:p>
        </w:tc>
        <w:tc>
          <w:tcPr>
            <w:tcW w:w="4962" w:type="dxa"/>
            <w:vAlign w:val="center"/>
          </w:tcPr>
          <w:p w14:paraId="6B0C136C">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（三）施工单位拒不整改或者不停止施工，未及时向有关主管部门报告的；</w:t>
            </w:r>
          </w:p>
          <w:p w14:paraId="27D1AFC6">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第六十八条　本条例规定的行政处罚，由建设行政主管部门或者其他有关部门依照法定职权决定。违反消防安全管理规定的行为，由公安消防机构依法处罚。有关法律、行政法规对建设工程安全生产违法行为的行政处罚决定机关另有规定的，从其规定。</w:t>
            </w:r>
          </w:p>
          <w:p w14:paraId="76A13FE2">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【规章】《危险性较大的分部分项工程安全管理规定》</w:t>
            </w:r>
          </w:p>
          <w:p w14:paraId="20067A27">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第十九条　监理单位发现施工单位未按照专项施工方案施工的，应当要求其进行整改；情节严重的，应当要求其暂停施工，并及时报告建设单位。施工单位拒不整改或者不停止施工的，监理单位应当及时报告建设单位和工程所在地住房城乡建设主管部门。</w:t>
            </w:r>
          </w:p>
          <w:p w14:paraId="4857D1D7">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第三十六条　监理单位有下列行为之一的，依照《中华人民共和国安全生产法》《建设工程安全生产管理条例》对单位进行处罚；对直接负责的主管人员和其他直接责任人员处1000元以上5000元以下的罚款：</w:t>
            </w:r>
          </w:p>
          <w:p w14:paraId="1A26C5F6">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（三）施工单位拒不整改或者不停止施工时，未向建设单位和工程所在地住房城乡建设主管部门报告的。</w:t>
            </w:r>
          </w:p>
        </w:tc>
        <w:tc>
          <w:tcPr>
            <w:tcW w:w="992" w:type="dxa"/>
            <w:vAlign w:val="center"/>
          </w:tcPr>
          <w:p w14:paraId="52BEF21A">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现场检查、书面检查</w:t>
            </w:r>
          </w:p>
        </w:tc>
        <w:tc>
          <w:tcPr>
            <w:tcW w:w="1139" w:type="dxa"/>
            <w:vAlign w:val="center"/>
          </w:tcPr>
          <w:p w14:paraId="47ACEA80">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双随机+重点检查</w:t>
            </w:r>
          </w:p>
        </w:tc>
        <w:tc>
          <w:tcPr>
            <w:tcW w:w="1491" w:type="dxa"/>
            <w:vAlign w:val="center"/>
          </w:tcPr>
          <w:p w14:paraId="5B66368D">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320217701000</w:t>
            </w:r>
          </w:p>
        </w:tc>
        <w:tc>
          <w:tcPr>
            <w:tcW w:w="1481" w:type="dxa"/>
            <w:vAlign w:val="center"/>
          </w:tcPr>
          <w:p w14:paraId="565FEDE1">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对工程监理单位发现施工单位拒不整改或者不停止施工，未及时向有关主管部门报告的处罚</w:t>
            </w:r>
          </w:p>
        </w:tc>
        <w:tc>
          <w:tcPr>
            <w:tcW w:w="622" w:type="dxa"/>
            <w:vAlign w:val="center"/>
          </w:tcPr>
          <w:p w14:paraId="5FC71A0D">
            <w:pPr>
              <w:widowControl/>
              <w:autoSpaceDE w:val="0"/>
              <w:autoSpaceDN w:val="0"/>
              <w:spacing w:line="280" w:lineRule="exact"/>
              <w:jc w:val="left"/>
              <w:rPr>
                <w:rFonts w:ascii="Times New Roman" w:hAnsi="Times New Roman" w:eastAsia="仿宋_GB2312" w:cs="方正仿宋_GBK"/>
                <w:color w:val="auto"/>
                <w:szCs w:val="21"/>
              </w:rPr>
            </w:pPr>
          </w:p>
        </w:tc>
      </w:tr>
      <w:tr w14:paraId="24005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6" w:type="dxa"/>
            <w:vMerge w:val="continue"/>
            <w:vAlign w:val="center"/>
          </w:tcPr>
          <w:p w14:paraId="104DB391">
            <w:pPr>
              <w:widowControl/>
              <w:autoSpaceDE w:val="0"/>
              <w:autoSpaceDN w:val="0"/>
              <w:spacing w:line="280" w:lineRule="exact"/>
              <w:jc w:val="left"/>
              <w:rPr>
                <w:rFonts w:ascii="Times New Roman" w:hAnsi="Times New Roman" w:eastAsia="仿宋_GB2312" w:cs="方正仿宋_GBK"/>
                <w:color w:val="auto"/>
                <w:szCs w:val="21"/>
              </w:rPr>
            </w:pPr>
          </w:p>
        </w:tc>
        <w:tc>
          <w:tcPr>
            <w:tcW w:w="1324" w:type="dxa"/>
            <w:vMerge w:val="continue"/>
            <w:vAlign w:val="center"/>
          </w:tcPr>
          <w:p w14:paraId="7467981D">
            <w:pPr>
              <w:widowControl/>
              <w:autoSpaceDE w:val="0"/>
              <w:autoSpaceDN w:val="0"/>
              <w:spacing w:line="280" w:lineRule="exact"/>
              <w:jc w:val="left"/>
              <w:rPr>
                <w:rFonts w:ascii="Times New Roman" w:hAnsi="Times New Roman" w:eastAsia="仿宋_GB2312" w:cs="方正仿宋_GBK"/>
                <w:color w:val="auto"/>
                <w:szCs w:val="21"/>
              </w:rPr>
            </w:pPr>
          </w:p>
        </w:tc>
        <w:tc>
          <w:tcPr>
            <w:tcW w:w="794" w:type="dxa"/>
            <w:vMerge w:val="continue"/>
            <w:vAlign w:val="center"/>
          </w:tcPr>
          <w:p w14:paraId="33F9DB1F">
            <w:pPr>
              <w:widowControl/>
              <w:autoSpaceDE w:val="0"/>
              <w:autoSpaceDN w:val="0"/>
              <w:spacing w:line="280" w:lineRule="exact"/>
              <w:jc w:val="left"/>
              <w:rPr>
                <w:rFonts w:ascii="Times New Roman" w:hAnsi="Times New Roman" w:eastAsia="仿宋_GB2312" w:cs="方正仿宋_GBK"/>
                <w:color w:val="auto"/>
                <w:szCs w:val="21"/>
              </w:rPr>
            </w:pPr>
          </w:p>
        </w:tc>
        <w:tc>
          <w:tcPr>
            <w:tcW w:w="872" w:type="dxa"/>
            <w:vMerge w:val="continue"/>
            <w:vAlign w:val="center"/>
          </w:tcPr>
          <w:p w14:paraId="18888F34">
            <w:pPr>
              <w:widowControl/>
              <w:autoSpaceDE w:val="0"/>
              <w:autoSpaceDN w:val="0"/>
              <w:spacing w:line="280" w:lineRule="exact"/>
              <w:jc w:val="left"/>
              <w:rPr>
                <w:rFonts w:ascii="Times New Roman" w:hAnsi="Times New Roman" w:eastAsia="仿宋_GB2312" w:cs="方正仿宋_GBK"/>
                <w:color w:val="auto"/>
                <w:szCs w:val="21"/>
              </w:rPr>
            </w:pPr>
          </w:p>
        </w:tc>
        <w:tc>
          <w:tcPr>
            <w:tcW w:w="869" w:type="dxa"/>
            <w:vMerge w:val="continue"/>
            <w:vAlign w:val="center"/>
          </w:tcPr>
          <w:p w14:paraId="216B6D89">
            <w:pPr>
              <w:widowControl/>
              <w:autoSpaceDE w:val="0"/>
              <w:autoSpaceDN w:val="0"/>
              <w:spacing w:line="280" w:lineRule="exact"/>
              <w:jc w:val="left"/>
              <w:rPr>
                <w:rFonts w:ascii="Times New Roman" w:hAnsi="Times New Roman" w:eastAsia="仿宋_GB2312" w:cs="方正仿宋_GBK"/>
                <w:color w:val="auto"/>
                <w:szCs w:val="21"/>
              </w:rPr>
            </w:pPr>
          </w:p>
        </w:tc>
        <w:tc>
          <w:tcPr>
            <w:tcW w:w="4962" w:type="dxa"/>
            <w:vAlign w:val="center"/>
          </w:tcPr>
          <w:p w14:paraId="6DE8A117">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【行政法规】《建设工程安全生产管理条例》</w:t>
            </w:r>
          </w:p>
          <w:p w14:paraId="7950002F">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第十四条第二款　工程监理单位在实施监理过程中，发现存在安全事故隐患的，应当要求施工单位整改；情况严重的，应当要求施工单位暂时停止施工，并及时报告建设单位。施工单位拒不整改或者不停止施工的，工程监理单位应当及时向有关主管部门报告。</w:t>
            </w:r>
          </w:p>
        </w:tc>
        <w:tc>
          <w:tcPr>
            <w:tcW w:w="992" w:type="dxa"/>
            <w:vAlign w:val="center"/>
          </w:tcPr>
          <w:p w14:paraId="6B18C44E">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现场检查、书面检查</w:t>
            </w:r>
          </w:p>
        </w:tc>
        <w:tc>
          <w:tcPr>
            <w:tcW w:w="1139" w:type="dxa"/>
            <w:vAlign w:val="center"/>
          </w:tcPr>
          <w:p w14:paraId="7A7E7E94">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双随机+重点检查</w:t>
            </w:r>
          </w:p>
        </w:tc>
        <w:tc>
          <w:tcPr>
            <w:tcW w:w="1491" w:type="dxa"/>
            <w:vAlign w:val="center"/>
          </w:tcPr>
          <w:p w14:paraId="04780FDD">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320217699000</w:t>
            </w:r>
          </w:p>
        </w:tc>
        <w:tc>
          <w:tcPr>
            <w:tcW w:w="1481" w:type="dxa"/>
            <w:vAlign w:val="center"/>
          </w:tcPr>
          <w:p w14:paraId="37710C7A">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对工程监理单位发现安全事故隐患未及时要求施工单位整改或者暂时停止施工的处罚</w:t>
            </w:r>
          </w:p>
        </w:tc>
        <w:tc>
          <w:tcPr>
            <w:tcW w:w="622" w:type="dxa"/>
            <w:vAlign w:val="center"/>
          </w:tcPr>
          <w:p w14:paraId="26EF343E">
            <w:pPr>
              <w:widowControl/>
              <w:autoSpaceDE w:val="0"/>
              <w:autoSpaceDN w:val="0"/>
              <w:spacing w:line="280" w:lineRule="exact"/>
              <w:jc w:val="left"/>
              <w:rPr>
                <w:rFonts w:ascii="Times New Roman" w:hAnsi="Times New Roman" w:eastAsia="仿宋_GB2312" w:cs="方正仿宋_GBK"/>
                <w:color w:val="auto"/>
                <w:szCs w:val="21"/>
              </w:rPr>
            </w:pPr>
          </w:p>
        </w:tc>
      </w:tr>
      <w:tr w14:paraId="72B2B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47" w:hRule="atLeast"/>
          <w:jc w:val="center"/>
        </w:trPr>
        <w:tc>
          <w:tcPr>
            <w:tcW w:w="536" w:type="dxa"/>
            <w:vAlign w:val="center"/>
          </w:tcPr>
          <w:p w14:paraId="6CA0EA98">
            <w:pPr>
              <w:widowControl/>
              <w:autoSpaceDE w:val="0"/>
              <w:autoSpaceDN w:val="0"/>
              <w:spacing w:line="280" w:lineRule="exact"/>
              <w:jc w:val="center"/>
              <w:rPr>
                <w:rFonts w:hint="default" w:ascii="Times New Roman" w:hAnsi="Times New Roman" w:eastAsia="仿宋_GB2312" w:cs="方正仿宋_GBK"/>
                <w:color w:val="auto"/>
                <w:szCs w:val="21"/>
                <w:lang w:val="en-US" w:eastAsia="zh-CN"/>
              </w:rPr>
            </w:pPr>
            <w:r>
              <w:rPr>
                <w:rFonts w:hint="eastAsia" w:ascii="Times New Roman" w:hAnsi="Times New Roman" w:eastAsia="仿宋_GB2312" w:cs="方正仿宋_GBK"/>
                <w:color w:val="auto"/>
                <w:szCs w:val="21"/>
                <w:lang w:val="en-US" w:eastAsia="zh-CN"/>
              </w:rPr>
              <w:t>15</w:t>
            </w:r>
          </w:p>
        </w:tc>
        <w:tc>
          <w:tcPr>
            <w:tcW w:w="1324" w:type="dxa"/>
            <w:vAlign w:val="center"/>
          </w:tcPr>
          <w:p w14:paraId="6328910B">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对房屋市政工程质量、安全及文明施工情况的行政检查</w:t>
            </w:r>
          </w:p>
        </w:tc>
        <w:tc>
          <w:tcPr>
            <w:tcW w:w="794" w:type="dxa"/>
            <w:vAlign w:val="center"/>
          </w:tcPr>
          <w:p w14:paraId="4A60F57A">
            <w:pPr>
              <w:widowControl/>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苏州市相城区住房和城乡建设局</w:t>
            </w:r>
          </w:p>
        </w:tc>
        <w:tc>
          <w:tcPr>
            <w:tcW w:w="872" w:type="dxa"/>
            <w:vAlign w:val="center"/>
          </w:tcPr>
          <w:p w14:paraId="0E812B13">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相城区建设工程质量安全监督中心</w:t>
            </w:r>
          </w:p>
        </w:tc>
        <w:tc>
          <w:tcPr>
            <w:tcW w:w="869" w:type="dxa"/>
            <w:vAlign w:val="center"/>
          </w:tcPr>
          <w:p w14:paraId="62B89B5C">
            <w:pPr>
              <w:widowControl/>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监理</w:t>
            </w:r>
          </w:p>
          <w:p w14:paraId="7850101A">
            <w:pPr>
              <w:widowControl/>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单位</w:t>
            </w:r>
          </w:p>
        </w:tc>
        <w:tc>
          <w:tcPr>
            <w:tcW w:w="4962" w:type="dxa"/>
            <w:vAlign w:val="center"/>
          </w:tcPr>
          <w:p w14:paraId="29E12E6C">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第五十七条　违反本条例的规定，工程监理单位有下列行为之一的，责令限期改正；逾期未改正的，责令停业整顿，并处10万元以上30万元以下的罚款；情节严重的，降低资质等级，直至吊销资质证书；造成重大安全事故，构成犯罪的，对直接责任人员，依照刑法有关规定追究刑事责任；造成损失的，依法承担赔偿责任：</w:t>
            </w:r>
          </w:p>
          <w:p w14:paraId="4A58940C">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（二）发现安全事故隐患未及时要求施工单位整改或者暂时停止施工的；</w:t>
            </w:r>
          </w:p>
          <w:p w14:paraId="28F3AA33">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第六十八条　本条例规定的行政处罚，由建设行政主管部门或者其他有关部门依照法定职权决定。违反消防安全管理规定的行为，由公安消防机构依法处罚。有关法律、行政法规对建设工程安全生产违法行为的行政处罚决定机关另有规定的，从其规定。</w:t>
            </w:r>
          </w:p>
          <w:p w14:paraId="78429BB2">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【规章】《危险性较大的分部分项工程安全管理规定》</w:t>
            </w:r>
          </w:p>
          <w:p w14:paraId="69058C06">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第十九条　监理单位发现施工单位未按照专项施工方案施工的，应当要求其进行整改；情节严重的，应当要求其暂停施工，并及时报告建设单位。施工单位拒不整改或者不停止施工的，监理单位应当及时报告建设单位和工程所在地住房城乡建设主管部门。</w:t>
            </w:r>
          </w:p>
          <w:p w14:paraId="042D0242">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第三十六条　监理单位有下列行为之一的，依照《中华人民共和国安全生产法》《建设工程安全生产管理条例》对单位进行处罚；对直接负责的主管人员和其他直接责任人员处1000元以上5000元以下的罚款：</w:t>
            </w:r>
          </w:p>
          <w:p w14:paraId="79AC1794">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（二）发现施工单位未按照专项施工方案实施，未要求其整改或者停工的；</w:t>
            </w:r>
          </w:p>
        </w:tc>
        <w:tc>
          <w:tcPr>
            <w:tcW w:w="992" w:type="dxa"/>
            <w:vAlign w:val="center"/>
          </w:tcPr>
          <w:p w14:paraId="0BB4D939">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现场检查、书面检查</w:t>
            </w:r>
          </w:p>
        </w:tc>
        <w:tc>
          <w:tcPr>
            <w:tcW w:w="1139" w:type="dxa"/>
            <w:vAlign w:val="center"/>
          </w:tcPr>
          <w:p w14:paraId="4FE4C9CF">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双随机+重点检查</w:t>
            </w:r>
          </w:p>
        </w:tc>
        <w:tc>
          <w:tcPr>
            <w:tcW w:w="1491" w:type="dxa"/>
            <w:vAlign w:val="center"/>
          </w:tcPr>
          <w:p w14:paraId="4E7EDA0D">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320217699000</w:t>
            </w:r>
          </w:p>
        </w:tc>
        <w:tc>
          <w:tcPr>
            <w:tcW w:w="1481" w:type="dxa"/>
            <w:vAlign w:val="center"/>
          </w:tcPr>
          <w:p w14:paraId="59960167">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对工程监理单位发现安全事故隐患未及时要求施工单位整改或者暂时停止施工的处罚</w:t>
            </w:r>
          </w:p>
        </w:tc>
        <w:tc>
          <w:tcPr>
            <w:tcW w:w="622" w:type="dxa"/>
            <w:vAlign w:val="center"/>
          </w:tcPr>
          <w:p w14:paraId="26FC5028">
            <w:pPr>
              <w:widowControl/>
              <w:autoSpaceDE w:val="0"/>
              <w:autoSpaceDN w:val="0"/>
              <w:spacing w:line="280" w:lineRule="exact"/>
              <w:jc w:val="left"/>
              <w:rPr>
                <w:rFonts w:ascii="Times New Roman" w:hAnsi="Times New Roman" w:eastAsia="仿宋_GB2312" w:cs="方正仿宋_GBK"/>
                <w:color w:val="auto"/>
                <w:szCs w:val="21"/>
              </w:rPr>
            </w:pPr>
          </w:p>
        </w:tc>
      </w:tr>
      <w:tr w14:paraId="6DF9E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6" w:type="dxa"/>
            <w:vAlign w:val="center"/>
          </w:tcPr>
          <w:p w14:paraId="3C10D089">
            <w:pPr>
              <w:widowControl/>
              <w:autoSpaceDE w:val="0"/>
              <w:autoSpaceDN w:val="0"/>
              <w:spacing w:line="280" w:lineRule="exact"/>
              <w:jc w:val="center"/>
              <w:rPr>
                <w:rFonts w:hint="default" w:ascii="Times New Roman" w:hAnsi="Times New Roman" w:eastAsia="仿宋_GB2312" w:cs="方正仿宋_GBK"/>
                <w:color w:val="auto"/>
                <w:szCs w:val="21"/>
                <w:lang w:val="en-US" w:eastAsia="zh-CN"/>
              </w:rPr>
            </w:pPr>
            <w:r>
              <w:rPr>
                <w:rFonts w:hint="eastAsia" w:ascii="Times New Roman" w:hAnsi="Times New Roman" w:eastAsia="仿宋_GB2312" w:cs="方正仿宋_GBK"/>
                <w:color w:val="auto"/>
                <w:szCs w:val="21"/>
                <w:lang w:val="en-US" w:eastAsia="zh-CN"/>
              </w:rPr>
              <w:t>15</w:t>
            </w:r>
          </w:p>
        </w:tc>
        <w:tc>
          <w:tcPr>
            <w:tcW w:w="1324" w:type="dxa"/>
            <w:vAlign w:val="center"/>
          </w:tcPr>
          <w:p w14:paraId="21A82163">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对房屋市政工程质量、安全及文明施工情况的行政检查</w:t>
            </w:r>
          </w:p>
        </w:tc>
        <w:tc>
          <w:tcPr>
            <w:tcW w:w="794" w:type="dxa"/>
            <w:vAlign w:val="center"/>
          </w:tcPr>
          <w:p w14:paraId="22DC6598">
            <w:pPr>
              <w:widowControl/>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苏州市相城区住房和城乡建设局</w:t>
            </w:r>
          </w:p>
        </w:tc>
        <w:tc>
          <w:tcPr>
            <w:tcW w:w="872" w:type="dxa"/>
            <w:vAlign w:val="center"/>
          </w:tcPr>
          <w:p w14:paraId="4EA0C104">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相城区建设工程质量安全监督中心</w:t>
            </w:r>
          </w:p>
        </w:tc>
        <w:tc>
          <w:tcPr>
            <w:tcW w:w="869" w:type="dxa"/>
            <w:vAlign w:val="center"/>
          </w:tcPr>
          <w:p w14:paraId="5C60BEFA">
            <w:pPr>
              <w:widowControl/>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监理</w:t>
            </w:r>
          </w:p>
          <w:p w14:paraId="5229AFE1">
            <w:pPr>
              <w:widowControl/>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单位</w:t>
            </w:r>
          </w:p>
        </w:tc>
        <w:tc>
          <w:tcPr>
            <w:tcW w:w="4962" w:type="dxa"/>
            <w:vAlign w:val="center"/>
          </w:tcPr>
          <w:p w14:paraId="33DCEB21">
            <w:pPr>
              <w:widowControl/>
              <w:autoSpaceDE w:val="0"/>
              <w:autoSpaceDN w:val="0"/>
              <w:spacing w:line="27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【行政法规】《建设工程安全生产管理条例》</w:t>
            </w:r>
          </w:p>
          <w:p w14:paraId="3879CA1E">
            <w:pPr>
              <w:widowControl/>
              <w:autoSpaceDE w:val="0"/>
              <w:autoSpaceDN w:val="0"/>
              <w:spacing w:line="27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第十四条第一款　工程监理单位应当审查施工组织设计中的安全技术措施或者专项施工方案是否符合工程建设强制性标准。</w:t>
            </w:r>
          </w:p>
          <w:p w14:paraId="7E9646D7">
            <w:pPr>
              <w:widowControl/>
              <w:autoSpaceDE w:val="0"/>
              <w:autoSpaceDN w:val="0"/>
              <w:spacing w:line="27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第五十七条　违反本条例的规定，工程监理单位有下列行为之一的，责令限期改正；逾期未改正的，责令停业整顿，并处10万元以上30万元以下的罚款；情节严重的，降低资质等级，直至吊销资质证书；造成重大安全事故，构成犯罪的，对直接责任人员，依照刑法有关规定追究刑事责任；造成损失的，依法承担赔偿责任：</w:t>
            </w:r>
          </w:p>
          <w:p w14:paraId="6387EDCC">
            <w:pPr>
              <w:widowControl/>
              <w:autoSpaceDE w:val="0"/>
              <w:autoSpaceDN w:val="0"/>
              <w:spacing w:line="27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（一）未对施工组织设计中的安全技术措施或者专项施工方案进行审查的；</w:t>
            </w:r>
          </w:p>
          <w:p w14:paraId="660379D4">
            <w:pPr>
              <w:widowControl/>
              <w:autoSpaceDE w:val="0"/>
              <w:autoSpaceDN w:val="0"/>
              <w:spacing w:line="27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第六十八条　本条例规定的行政处罚，由建设行政主管部门或者其他有关部门依照法定职权决定。违反消防安全管理规定的行为，由公安消防机构依法处罚。有关法律、行政法规对建设工程安全生产违法行为的行政处罚决定机关另有规定的，从其规定。</w:t>
            </w:r>
          </w:p>
          <w:p w14:paraId="21215037">
            <w:pPr>
              <w:widowControl/>
              <w:autoSpaceDE w:val="0"/>
              <w:autoSpaceDN w:val="0"/>
              <w:spacing w:line="27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【规章】《危险性较大的分部分项工程安全管理规定》</w:t>
            </w:r>
          </w:p>
          <w:p w14:paraId="0A280344">
            <w:pPr>
              <w:widowControl/>
              <w:autoSpaceDE w:val="0"/>
              <w:autoSpaceDN w:val="0"/>
              <w:spacing w:line="27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第十一条　专项施工方案应当由施工单位技术负责人审核签字、加盖单位公章，并由总监理工程师审查签字、加盖执业印章后方可实施。</w:t>
            </w:r>
          </w:p>
          <w:p w14:paraId="3F70274B">
            <w:pPr>
              <w:widowControl/>
              <w:autoSpaceDE w:val="0"/>
              <w:autoSpaceDN w:val="0"/>
              <w:spacing w:line="27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危大工程实行分包并由分包单位编制专项施工方案的，专项施工方案应当由总承包单位技术负责人及分包单位技术负责人共同审核签字并加盖单位公章。</w:t>
            </w:r>
          </w:p>
          <w:p w14:paraId="7CBCC05B">
            <w:pPr>
              <w:widowControl/>
              <w:autoSpaceDE w:val="0"/>
              <w:autoSpaceDN w:val="0"/>
              <w:spacing w:line="27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第十二条　对于超过一定规模的危大工程，施工单位应当组织召开专家论证会对专项施工方案进行论证。实行施工总承包的，由施工总承包单位组织召开专家论证会。专家论证前专项施工方案应当通过施</w:t>
            </w:r>
          </w:p>
        </w:tc>
        <w:tc>
          <w:tcPr>
            <w:tcW w:w="992" w:type="dxa"/>
            <w:vAlign w:val="center"/>
          </w:tcPr>
          <w:p w14:paraId="288E289B">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现场检查、书面检查</w:t>
            </w:r>
          </w:p>
        </w:tc>
        <w:tc>
          <w:tcPr>
            <w:tcW w:w="1139" w:type="dxa"/>
            <w:vAlign w:val="center"/>
          </w:tcPr>
          <w:p w14:paraId="0ABACBDA">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双随机+重点检查</w:t>
            </w:r>
          </w:p>
        </w:tc>
        <w:tc>
          <w:tcPr>
            <w:tcW w:w="1491" w:type="dxa"/>
            <w:vAlign w:val="center"/>
          </w:tcPr>
          <w:p w14:paraId="4BC9286F">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320217698000</w:t>
            </w:r>
          </w:p>
        </w:tc>
        <w:tc>
          <w:tcPr>
            <w:tcW w:w="1481" w:type="dxa"/>
            <w:vAlign w:val="center"/>
          </w:tcPr>
          <w:p w14:paraId="6F4AB686">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对工程监理单位未对施工组织设计中的安全技术措施或者专项施工方案进行审查的处罚</w:t>
            </w:r>
          </w:p>
        </w:tc>
        <w:tc>
          <w:tcPr>
            <w:tcW w:w="622" w:type="dxa"/>
            <w:vAlign w:val="center"/>
          </w:tcPr>
          <w:p w14:paraId="45AB658E">
            <w:pPr>
              <w:widowControl/>
              <w:autoSpaceDE w:val="0"/>
              <w:autoSpaceDN w:val="0"/>
              <w:spacing w:line="280" w:lineRule="exact"/>
              <w:jc w:val="left"/>
              <w:rPr>
                <w:rFonts w:ascii="Times New Roman" w:hAnsi="Times New Roman" w:eastAsia="仿宋_GB2312" w:cs="方正仿宋_GBK"/>
                <w:color w:val="auto"/>
                <w:szCs w:val="21"/>
              </w:rPr>
            </w:pPr>
          </w:p>
        </w:tc>
      </w:tr>
      <w:tr w14:paraId="7C8A0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0" w:hRule="atLeast"/>
          <w:jc w:val="center"/>
        </w:trPr>
        <w:tc>
          <w:tcPr>
            <w:tcW w:w="536" w:type="dxa"/>
            <w:vMerge w:val="restart"/>
            <w:vAlign w:val="center"/>
          </w:tcPr>
          <w:p w14:paraId="364D2EB8">
            <w:pPr>
              <w:widowControl/>
              <w:autoSpaceDE w:val="0"/>
              <w:autoSpaceDN w:val="0"/>
              <w:spacing w:line="280" w:lineRule="exact"/>
              <w:jc w:val="center"/>
              <w:rPr>
                <w:rFonts w:hint="default" w:ascii="Times New Roman" w:hAnsi="Times New Roman" w:eastAsia="仿宋_GB2312" w:cs="方正仿宋_GBK"/>
                <w:color w:val="auto"/>
                <w:szCs w:val="21"/>
                <w:lang w:val="en-US" w:eastAsia="zh-CN"/>
              </w:rPr>
            </w:pPr>
            <w:r>
              <w:rPr>
                <w:rFonts w:hint="eastAsia" w:ascii="Times New Roman" w:hAnsi="Times New Roman" w:eastAsia="仿宋_GB2312" w:cs="方正仿宋_GBK"/>
                <w:color w:val="auto"/>
                <w:szCs w:val="21"/>
                <w:lang w:val="en-US" w:eastAsia="zh-CN"/>
              </w:rPr>
              <w:t>15</w:t>
            </w:r>
          </w:p>
        </w:tc>
        <w:tc>
          <w:tcPr>
            <w:tcW w:w="1324" w:type="dxa"/>
            <w:vMerge w:val="restart"/>
            <w:vAlign w:val="center"/>
          </w:tcPr>
          <w:p w14:paraId="489983C5">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对房屋市政工程质量、安全及文明施工情况的行政检查</w:t>
            </w:r>
          </w:p>
        </w:tc>
        <w:tc>
          <w:tcPr>
            <w:tcW w:w="794" w:type="dxa"/>
            <w:vMerge w:val="restart"/>
            <w:vAlign w:val="center"/>
          </w:tcPr>
          <w:p w14:paraId="3FD6C7CC">
            <w:pPr>
              <w:widowControl/>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苏州市相城区住房和城乡建设局</w:t>
            </w:r>
          </w:p>
        </w:tc>
        <w:tc>
          <w:tcPr>
            <w:tcW w:w="872" w:type="dxa"/>
            <w:vMerge w:val="restart"/>
            <w:vAlign w:val="center"/>
          </w:tcPr>
          <w:p w14:paraId="6606CD75">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相城区建设工程质量安全监督中心</w:t>
            </w:r>
          </w:p>
        </w:tc>
        <w:tc>
          <w:tcPr>
            <w:tcW w:w="869" w:type="dxa"/>
            <w:vAlign w:val="center"/>
          </w:tcPr>
          <w:p w14:paraId="4D02A5C3">
            <w:pPr>
              <w:widowControl/>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监理</w:t>
            </w:r>
          </w:p>
          <w:p w14:paraId="7F58E23F">
            <w:pPr>
              <w:widowControl/>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单位</w:t>
            </w:r>
          </w:p>
        </w:tc>
        <w:tc>
          <w:tcPr>
            <w:tcW w:w="4962" w:type="dxa"/>
            <w:vAlign w:val="center"/>
          </w:tcPr>
          <w:p w14:paraId="3D306974">
            <w:pPr>
              <w:widowControl/>
              <w:autoSpaceDE w:val="0"/>
              <w:autoSpaceDN w:val="0"/>
              <w:spacing w:line="270" w:lineRule="exact"/>
              <w:jc w:val="left"/>
              <w:rPr>
                <w:rFonts w:hint="eastAsia" w:ascii="Times New Roman" w:hAnsi="Times New Roman" w:eastAsia="仿宋_GB2312" w:cs="方正仿宋_GBK"/>
                <w:color w:val="auto"/>
                <w:szCs w:val="21"/>
                <w:lang w:eastAsia="zh-CN"/>
              </w:rPr>
            </w:pPr>
            <w:r>
              <w:rPr>
                <w:rFonts w:hint="eastAsia" w:ascii="Times New Roman" w:hAnsi="Times New Roman" w:eastAsia="仿宋_GB2312" w:cs="方正仿宋_GBK"/>
                <w:color w:val="auto"/>
                <w:szCs w:val="21"/>
              </w:rPr>
              <w:t>工单位审核和总监理工程师审查。</w:t>
            </w:r>
          </w:p>
          <w:p w14:paraId="4CB6A987">
            <w:pPr>
              <w:widowControl/>
              <w:autoSpaceDE w:val="0"/>
              <w:autoSpaceDN w:val="0"/>
              <w:spacing w:line="27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专家应当从地方人民政府住房城乡建设主管部门建立的专家库中选取，符合专业要求且人数不得少于5名。与本工程有利害关系的人员不得以专家身份参加专家论证会。</w:t>
            </w:r>
          </w:p>
          <w:p w14:paraId="7DFF11EC">
            <w:pPr>
              <w:widowControl/>
              <w:autoSpaceDE w:val="0"/>
              <w:autoSpaceDN w:val="0"/>
              <w:spacing w:line="27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第三十六条　监理单位有下列行为之一的，依照《中华人民共和国安全生产法》《建设工程安全生产管理条例》对单位进行处罚；对直接负责的主管人员和其他直接责任人员处1000元以上5000元以下的罚款：</w:t>
            </w:r>
          </w:p>
          <w:p w14:paraId="5C74A100">
            <w:pPr>
              <w:widowControl/>
              <w:autoSpaceDE w:val="0"/>
              <w:autoSpaceDN w:val="0"/>
              <w:spacing w:line="27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（一）总监理工程师未按照本规定审查危大工程专项施工方案的；</w:t>
            </w:r>
          </w:p>
        </w:tc>
        <w:tc>
          <w:tcPr>
            <w:tcW w:w="992" w:type="dxa"/>
            <w:vMerge w:val="restart"/>
            <w:vAlign w:val="center"/>
          </w:tcPr>
          <w:p w14:paraId="64DD6090">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现场检查、书面检查</w:t>
            </w:r>
          </w:p>
        </w:tc>
        <w:tc>
          <w:tcPr>
            <w:tcW w:w="1139" w:type="dxa"/>
            <w:vMerge w:val="restart"/>
            <w:vAlign w:val="center"/>
          </w:tcPr>
          <w:p w14:paraId="3EFEF036">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双随机+重点检查</w:t>
            </w:r>
          </w:p>
        </w:tc>
        <w:tc>
          <w:tcPr>
            <w:tcW w:w="1491" w:type="dxa"/>
            <w:vAlign w:val="center"/>
          </w:tcPr>
          <w:p w14:paraId="2FBCCAE6">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320217698000</w:t>
            </w:r>
          </w:p>
        </w:tc>
        <w:tc>
          <w:tcPr>
            <w:tcW w:w="1481" w:type="dxa"/>
            <w:vAlign w:val="center"/>
          </w:tcPr>
          <w:p w14:paraId="56B90064">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对工程监理单位未对施工组织设计中的安全技术措施或者专项施工方案进行审查的处罚</w:t>
            </w:r>
          </w:p>
        </w:tc>
        <w:tc>
          <w:tcPr>
            <w:tcW w:w="622" w:type="dxa"/>
            <w:vAlign w:val="center"/>
          </w:tcPr>
          <w:p w14:paraId="17FCD7B1">
            <w:pPr>
              <w:widowControl/>
              <w:autoSpaceDE w:val="0"/>
              <w:autoSpaceDN w:val="0"/>
              <w:spacing w:line="280" w:lineRule="exact"/>
              <w:jc w:val="left"/>
              <w:rPr>
                <w:rFonts w:ascii="Times New Roman" w:hAnsi="Times New Roman" w:eastAsia="仿宋_GB2312" w:cs="方正仿宋_GBK"/>
                <w:color w:val="auto"/>
                <w:szCs w:val="21"/>
              </w:rPr>
            </w:pPr>
          </w:p>
        </w:tc>
      </w:tr>
      <w:tr w14:paraId="5EF1A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8" w:hRule="atLeast"/>
          <w:jc w:val="center"/>
        </w:trPr>
        <w:tc>
          <w:tcPr>
            <w:tcW w:w="536" w:type="dxa"/>
            <w:vMerge w:val="continue"/>
            <w:vAlign w:val="center"/>
          </w:tcPr>
          <w:p w14:paraId="006D1FB2">
            <w:pPr>
              <w:widowControl/>
              <w:autoSpaceDE w:val="0"/>
              <w:autoSpaceDN w:val="0"/>
              <w:spacing w:line="280" w:lineRule="exact"/>
              <w:jc w:val="left"/>
              <w:rPr>
                <w:rFonts w:ascii="Times New Roman" w:hAnsi="Times New Roman" w:eastAsia="仿宋_GB2312" w:cs="方正仿宋_GBK"/>
                <w:color w:val="auto"/>
                <w:szCs w:val="21"/>
              </w:rPr>
            </w:pPr>
          </w:p>
        </w:tc>
        <w:tc>
          <w:tcPr>
            <w:tcW w:w="1324" w:type="dxa"/>
            <w:vMerge w:val="continue"/>
            <w:vAlign w:val="center"/>
          </w:tcPr>
          <w:p w14:paraId="75FB7951">
            <w:pPr>
              <w:widowControl/>
              <w:autoSpaceDE w:val="0"/>
              <w:autoSpaceDN w:val="0"/>
              <w:spacing w:line="280" w:lineRule="exact"/>
              <w:jc w:val="left"/>
              <w:rPr>
                <w:rFonts w:ascii="Times New Roman" w:hAnsi="Times New Roman" w:eastAsia="仿宋_GB2312" w:cs="方正仿宋_GBK"/>
                <w:color w:val="auto"/>
                <w:szCs w:val="21"/>
              </w:rPr>
            </w:pPr>
          </w:p>
        </w:tc>
        <w:tc>
          <w:tcPr>
            <w:tcW w:w="794" w:type="dxa"/>
            <w:vMerge w:val="continue"/>
            <w:vAlign w:val="center"/>
          </w:tcPr>
          <w:p w14:paraId="59A23439">
            <w:pPr>
              <w:widowControl/>
              <w:autoSpaceDE w:val="0"/>
              <w:autoSpaceDN w:val="0"/>
              <w:spacing w:line="280" w:lineRule="exact"/>
              <w:jc w:val="left"/>
              <w:rPr>
                <w:rFonts w:ascii="Times New Roman" w:hAnsi="Times New Roman" w:eastAsia="仿宋_GB2312" w:cs="方正仿宋_GBK"/>
                <w:color w:val="auto"/>
                <w:szCs w:val="21"/>
              </w:rPr>
            </w:pPr>
          </w:p>
        </w:tc>
        <w:tc>
          <w:tcPr>
            <w:tcW w:w="872" w:type="dxa"/>
            <w:vMerge w:val="continue"/>
            <w:vAlign w:val="center"/>
          </w:tcPr>
          <w:p w14:paraId="1D447766">
            <w:pPr>
              <w:widowControl/>
              <w:autoSpaceDE w:val="0"/>
              <w:autoSpaceDN w:val="0"/>
              <w:spacing w:line="280" w:lineRule="exact"/>
              <w:jc w:val="left"/>
              <w:rPr>
                <w:rFonts w:ascii="Times New Roman" w:hAnsi="Times New Roman" w:eastAsia="仿宋_GB2312" w:cs="方正仿宋_GBK"/>
                <w:color w:val="auto"/>
                <w:szCs w:val="21"/>
              </w:rPr>
            </w:pPr>
          </w:p>
        </w:tc>
        <w:tc>
          <w:tcPr>
            <w:tcW w:w="869" w:type="dxa"/>
            <w:vAlign w:val="center"/>
          </w:tcPr>
          <w:p w14:paraId="7B6932F8">
            <w:pPr>
              <w:widowControl/>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监理</w:t>
            </w:r>
          </w:p>
          <w:p w14:paraId="4A1A41C1">
            <w:pPr>
              <w:widowControl/>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行业</w:t>
            </w:r>
          </w:p>
        </w:tc>
        <w:tc>
          <w:tcPr>
            <w:tcW w:w="4962" w:type="dxa"/>
            <w:vAlign w:val="center"/>
          </w:tcPr>
          <w:p w14:paraId="35030847">
            <w:pPr>
              <w:widowControl/>
              <w:autoSpaceDE w:val="0"/>
              <w:autoSpaceDN w:val="0"/>
              <w:spacing w:line="264"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【规章】《危险性较大的分部分项工程安全管理规定》</w:t>
            </w:r>
          </w:p>
          <w:p w14:paraId="131A51FE">
            <w:pPr>
              <w:widowControl/>
              <w:autoSpaceDE w:val="0"/>
              <w:autoSpaceDN w:val="0"/>
              <w:spacing w:line="264"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第三十六条　监理单位有下列行为之一的，依照《中华人民共和国安全生产法》《建设工程安全生产管理条例》对单位进行处罚；对直接负责的主管人员和其他直接责任人员处1000元以上5000元以下的罚款：</w:t>
            </w:r>
            <w:r>
              <w:rPr>
                <w:rFonts w:hint="eastAsia" w:ascii="Times New Roman" w:hAnsi="Times New Roman" w:eastAsia="仿宋_GB2312" w:cs="方正仿宋_GBK"/>
                <w:color w:val="auto"/>
                <w:szCs w:val="21"/>
              </w:rPr>
              <w:cr/>
            </w:r>
            <w:r>
              <w:rPr>
                <w:rFonts w:hint="eastAsia" w:ascii="Times New Roman" w:hAnsi="Times New Roman" w:eastAsia="仿宋_GB2312" w:cs="方正仿宋_GBK"/>
                <w:color w:val="auto"/>
                <w:szCs w:val="21"/>
              </w:rPr>
              <w:t xml:space="preserve">    （一）总监理工程师未按照本规定审查危大工程专项施工方案的；</w:t>
            </w:r>
          </w:p>
          <w:p w14:paraId="457B5886">
            <w:pPr>
              <w:widowControl/>
              <w:autoSpaceDE w:val="0"/>
              <w:autoSpaceDN w:val="0"/>
              <w:spacing w:line="264"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第三十七条　监理单位有下列行为之一的，责令限期改正，并处1万元以上3万元以下的罚款；对直接负责的主管人员和其他直接责任人员处1000元以上5000元以下的罚款：</w:t>
            </w:r>
          </w:p>
          <w:p w14:paraId="4F33F1B3">
            <w:pPr>
              <w:widowControl/>
              <w:autoSpaceDE w:val="0"/>
              <w:autoSpaceDN w:val="0"/>
              <w:spacing w:line="264"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（一）未按照本规定编制监理实施细则的；</w:t>
            </w:r>
          </w:p>
          <w:p w14:paraId="092213CA">
            <w:pPr>
              <w:widowControl/>
              <w:autoSpaceDE w:val="0"/>
              <w:autoSpaceDN w:val="0"/>
              <w:spacing w:line="264"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（四）未按照本规定建立危大工程安全管理档案的。</w:t>
            </w:r>
          </w:p>
        </w:tc>
        <w:tc>
          <w:tcPr>
            <w:tcW w:w="992" w:type="dxa"/>
            <w:vMerge w:val="continue"/>
            <w:vAlign w:val="center"/>
          </w:tcPr>
          <w:p w14:paraId="0B81148F">
            <w:pPr>
              <w:widowControl/>
              <w:autoSpaceDE w:val="0"/>
              <w:autoSpaceDN w:val="0"/>
              <w:spacing w:line="280" w:lineRule="exact"/>
              <w:jc w:val="left"/>
              <w:rPr>
                <w:rFonts w:ascii="Times New Roman" w:hAnsi="Times New Roman" w:eastAsia="仿宋_GB2312" w:cs="方正仿宋_GBK"/>
                <w:color w:val="auto"/>
                <w:szCs w:val="21"/>
              </w:rPr>
            </w:pPr>
          </w:p>
        </w:tc>
        <w:tc>
          <w:tcPr>
            <w:tcW w:w="1139" w:type="dxa"/>
            <w:vMerge w:val="continue"/>
            <w:vAlign w:val="center"/>
          </w:tcPr>
          <w:p w14:paraId="1D677008">
            <w:pPr>
              <w:widowControl/>
              <w:autoSpaceDE w:val="0"/>
              <w:autoSpaceDN w:val="0"/>
              <w:spacing w:line="280" w:lineRule="exact"/>
              <w:jc w:val="left"/>
              <w:rPr>
                <w:rFonts w:ascii="Times New Roman" w:hAnsi="Times New Roman" w:eastAsia="仿宋_GB2312" w:cs="方正仿宋_GBK"/>
                <w:color w:val="auto"/>
                <w:szCs w:val="21"/>
              </w:rPr>
            </w:pPr>
          </w:p>
        </w:tc>
        <w:tc>
          <w:tcPr>
            <w:tcW w:w="1491" w:type="dxa"/>
            <w:vAlign w:val="center"/>
          </w:tcPr>
          <w:p w14:paraId="208DC166">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320217788000</w:t>
            </w:r>
          </w:p>
        </w:tc>
        <w:tc>
          <w:tcPr>
            <w:tcW w:w="1481" w:type="dxa"/>
            <w:vAlign w:val="center"/>
          </w:tcPr>
          <w:p w14:paraId="4BA62AF5">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对监理单位直接负责的主管人员和其他直接责任人员在总监理工程师未按照规定审查危大工程专项施工方案的处罚</w:t>
            </w:r>
          </w:p>
        </w:tc>
        <w:tc>
          <w:tcPr>
            <w:tcW w:w="622" w:type="dxa"/>
            <w:vAlign w:val="center"/>
          </w:tcPr>
          <w:p w14:paraId="327F8027">
            <w:pPr>
              <w:widowControl/>
              <w:autoSpaceDE w:val="0"/>
              <w:autoSpaceDN w:val="0"/>
              <w:spacing w:line="280" w:lineRule="exact"/>
              <w:jc w:val="left"/>
              <w:rPr>
                <w:rFonts w:ascii="Times New Roman" w:hAnsi="Times New Roman" w:eastAsia="仿宋_GB2312" w:cs="方正仿宋_GBK"/>
                <w:color w:val="auto"/>
                <w:szCs w:val="21"/>
              </w:rPr>
            </w:pPr>
          </w:p>
        </w:tc>
      </w:tr>
      <w:tr w14:paraId="287EF6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6" w:type="dxa"/>
            <w:vMerge w:val="restart"/>
            <w:vAlign w:val="center"/>
          </w:tcPr>
          <w:p w14:paraId="32167F1F">
            <w:pPr>
              <w:widowControl/>
              <w:autoSpaceDE w:val="0"/>
              <w:autoSpaceDN w:val="0"/>
              <w:spacing w:line="280" w:lineRule="exact"/>
              <w:jc w:val="center"/>
              <w:rPr>
                <w:rFonts w:hint="default" w:ascii="Times New Roman" w:hAnsi="Times New Roman" w:eastAsia="仿宋_GB2312" w:cs="方正仿宋_GBK"/>
                <w:color w:val="auto"/>
                <w:szCs w:val="21"/>
                <w:lang w:val="en-US" w:eastAsia="zh-CN"/>
              </w:rPr>
            </w:pPr>
            <w:r>
              <w:rPr>
                <w:rFonts w:hint="eastAsia" w:ascii="Times New Roman" w:hAnsi="Times New Roman" w:eastAsia="仿宋_GB2312" w:cs="方正仿宋_GBK"/>
                <w:color w:val="auto"/>
                <w:szCs w:val="21"/>
                <w:lang w:val="en-US" w:eastAsia="zh-CN"/>
              </w:rPr>
              <w:t>15</w:t>
            </w:r>
          </w:p>
        </w:tc>
        <w:tc>
          <w:tcPr>
            <w:tcW w:w="1324" w:type="dxa"/>
            <w:vMerge w:val="restart"/>
            <w:vAlign w:val="center"/>
          </w:tcPr>
          <w:p w14:paraId="439FA0F3">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对房屋市政工程质量、安全及文明施工情况的行政检查</w:t>
            </w:r>
          </w:p>
        </w:tc>
        <w:tc>
          <w:tcPr>
            <w:tcW w:w="794" w:type="dxa"/>
            <w:vMerge w:val="restart"/>
            <w:vAlign w:val="center"/>
          </w:tcPr>
          <w:p w14:paraId="5DF9B233">
            <w:pPr>
              <w:widowControl/>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苏州市相城区住房和城乡建设局</w:t>
            </w:r>
          </w:p>
        </w:tc>
        <w:tc>
          <w:tcPr>
            <w:tcW w:w="872" w:type="dxa"/>
            <w:vMerge w:val="restart"/>
            <w:vAlign w:val="center"/>
          </w:tcPr>
          <w:p w14:paraId="6254F645">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相城区建设工程质量安全监督中心</w:t>
            </w:r>
          </w:p>
        </w:tc>
        <w:tc>
          <w:tcPr>
            <w:tcW w:w="869" w:type="dxa"/>
            <w:vAlign w:val="center"/>
          </w:tcPr>
          <w:p w14:paraId="7D91749C">
            <w:pPr>
              <w:widowControl/>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施工</w:t>
            </w:r>
          </w:p>
          <w:p w14:paraId="40D0FB7D">
            <w:pPr>
              <w:widowControl/>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单位</w:t>
            </w:r>
          </w:p>
        </w:tc>
        <w:tc>
          <w:tcPr>
            <w:tcW w:w="4962" w:type="dxa"/>
            <w:vAlign w:val="center"/>
          </w:tcPr>
          <w:p w14:paraId="21FE4366">
            <w:pPr>
              <w:widowControl/>
              <w:autoSpaceDE w:val="0"/>
              <w:autoSpaceDN w:val="0"/>
              <w:spacing w:line="27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【行政法规】《建设工程安全生产管理条例》</w:t>
            </w:r>
          </w:p>
          <w:p w14:paraId="460816C7">
            <w:pPr>
              <w:widowControl/>
              <w:autoSpaceDE w:val="0"/>
              <w:autoSpaceDN w:val="0"/>
              <w:spacing w:line="27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第十七条第一款　在施工现场安装、拆卸施工起重机械和整体提升脚手架、模板等自升式架设设施，必须由具有相应资质的单位承担。</w:t>
            </w:r>
          </w:p>
          <w:p w14:paraId="78C6BC27">
            <w:pPr>
              <w:widowControl/>
              <w:autoSpaceDE w:val="0"/>
              <w:autoSpaceDN w:val="0"/>
              <w:spacing w:line="27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第六十五条　违反本条例的规定，施工单位有下列行为之一的，责令限期改正；逾期未改正的，责令停业整顿，并处10万元以上30万元以下的罚款；情节严重的，降低资质等级，直至吊销资质证书；造成重大安全事故，构成犯罪的，对直接责任人员，依照刑法有关规定追究刑事责任；造成损失的，依法承担赔偿责任：</w:t>
            </w:r>
          </w:p>
          <w:p w14:paraId="598E2D87">
            <w:pPr>
              <w:widowControl/>
              <w:autoSpaceDE w:val="0"/>
              <w:autoSpaceDN w:val="0"/>
              <w:spacing w:line="27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（三）委托不具有相应资质的单位承担施工现场安装、拆卸施工起重机械和整体提升脚手架、模板等自升式架设设施的；</w:t>
            </w:r>
          </w:p>
          <w:p w14:paraId="622A17AB">
            <w:pPr>
              <w:widowControl/>
              <w:autoSpaceDE w:val="0"/>
              <w:autoSpaceDN w:val="0"/>
              <w:spacing w:line="27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第六十八条　本条例规定的行政处罚，由建设行政主管部门或者其他有关部门依照法定职权决定。违反消防安全管理规定的行为，由公安消防机构依法处罚。有关法律、行政法规对建设工程安全生产违法行为的行政处罚决定机关另有规定的，从其规定。</w:t>
            </w:r>
          </w:p>
        </w:tc>
        <w:tc>
          <w:tcPr>
            <w:tcW w:w="992" w:type="dxa"/>
            <w:vAlign w:val="center"/>
          </w:tcPr>
          <w:p w14:paraId="0E4A8FAC">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现场检查、书面检查</w:t>
            </w:r>
          </w:p>
        </w:tc>
        <w:tc>
          <w:tcPr>
            <w:tcW w:w="1139" w:type="dxa"/>
            <w:vAlign w:val="center"/>
          </w:tcPr>
          <w:p w14:paraId="0A4765CA">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双随机+重点检查</w:t>
            </w:r>
          </w:p>
        </w:tc>
        <w:tc>
          <w:tcPr>
            <w:tcW w:w="1491" w:type="dxa"/>
            <w:vAlign w:val="center"/>
          </w:tcPr>
          <w:p w14:paraId="098F8C6B">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320217691000</w:t>
            </w:r>
          </w:p>
        </w:tc>
        <w:tc>
          <w:tcPr>
            <w:tcW w:w="1481" w:type="dxa"/>
            <w:vAlign w:val="center"/>
          </w:tcPr>
          <w:p w14:paraId="3A7E6742">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对施工单位委托不具有相应资质的单位承担施工现场安装、拆卸施工起重机械和整体提升脚手架、模板等自升式架设设施的处罚</w:t>
            </w:r>
          </w:p>
        </w:tc>
        <w:tc>
          <w:tcPr>
            <w:tcW w:w="622" w:type="dxa"/>
            <w:vAlign w:val="center"/>
          </w:tcPr>
          <w:p w14:paraId="513F9C9F">
            <w:pPr>
              <w:widowControl/>
              <w:autoSpaceDE w:val="0"/>
              <w:autoSpaceDN w:val="0"/>
              <w:spacing w:line="280" w:lineRule="exact"/>
              <w:jc w:val="left"/>
              <w:rPr>
                <w:rFonts w:ascii="Times New Roman" w:hAnsi="Times New Roman" w:eastAsia="仿宋_GB2312" w:cs="方正仿宋_GBK"/>
                <w:color w:val="auto"/>
                <w:szCs w:val="21"/>
              </w:rPr>
            </w:pPr>
          </w:p>
        </w:tc>
      </w:tr>
      <w:tr w14:paraId="1B4F4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6" w:type="dxa"/>
            <w:vMerge w:val="continue"/>
            <w:vAlign w:val="center"/>
          </w:tcPr>
          <w:p w14:paraId="17DF2F12">
            <w:pPr>
              <w:widowControl/>
              <w:autoSpaceDE w:val="0"/>
              <w:autoSpaceDN w:val="0"/>
              <w:spacing w:line="280" w:lineRule="exact"/>
              <w:jc w:val="left"/>
              <w:rPr>
                <w:rFonts w:ascii="Times New Roman" w:hAnsi="Times New Roman" w:eastAsia="仿宋_GB2312" w:cs="方正仿宋_GBK"/>
                <w:color w:val="auto"/>
                <w:szCs w:val="21"/>
              </w:rPr>
            </w:pPr>
          </w:p>
        </w:tc>
        <w:tc>
          <w:tcPr>
            <w:tcW w:w="1324" w:type="dxa"/>
            <w:vMerge w:val="continue"/>
            <w:vAlign w:val="center"/>
          </w:tcPr>
          <w:p w14:paraId="303D7AF8">
            <w:pPr>
              <w:widowControl/>
              <w:autoSpaceDE w:val="0"/>
              <w:autoSpaceDN w:val="0"/>
              <w:spacing w:line="280" w:lineRule="exact"/>
              <w:jc w:val="left"/>
              <w:rPr>
                <w:rFonts w:ascii="Times New Roman" w:hAnsi="Times New Roman" w:eastAsia="仿宋_GB2312" w:cs="方正仿宋_GBK"/>
                <w:color w:val="auto"/>
                <w:szCs w:val="21"/>
              </w:rPr>
            </w:pPr>
          </w:p>
        </w:tc>
        <w:tc>
          <w:tcPr>
            <w:tcW w:w="794" w:type="dxa"/>
            <w:vMerge w:val="continue"/>
            <w:vAlign w:val="center"/>
          </w:tcPr>
          <w:p w14:paraId="09D02135">
            <w:pPr>
              <w:widowControl/>
              <w:autoSpaceDE w:val="0"/>
              <w:autoSpaceDN w:val="0"/>
              <w:spacing w:line="280" w:lineRule="exact"/>
              <w:jc w:val="left"/>
              <w:rPr>
                <w:rFonts w:ascii="Times New Roman" w:hAnsi="Times New Roman" w:eastAsia="仿宋_GB2312" w:cs="方正仿宋_GBK"/>
                <w:color w:val="auto"/>
                <w:szCs w:val="21"/>
              </w:rPr>
            </w:pPr>
          </w:p>
        </w:tc>
        <w:tc>
          <w:tcPr>
            <w:tcW w:w="872" w:type="dxa"/>
            <w:vMerge w:val="continue"/>
            <w:vAlign w:val="center"/>
          </w:tcPr>
          <w:p w14:paraId="0D8ED0AE">
            <w:pPr>
              <w:widowControl/>
              <w:autoSpaceDE w:val="0"/>
              <w:autoSpaceDN w:val="0"/>
              <w:spacing w:line="280" w:lineRule="exact"/>
              <w:jc w:val="left"/>
              <w:rPr>
                <w:rFonts w:ascii="Times New Roman" w:hAnsi="Times New Roman" w:eastAsia="仿宋_GB2312" w:cs="方正仿宋_GBK"/>
                <w:color w:val="auto"/>
                <w:szCs w:val="21"/>
              </w:rPr>
            </w:pPr>
          </w:p>
        </w:tc>
        <w:tc>
          <w:tcPr>
            <w:tcW w:w="869" w:type="dxa"/>
            <w:vAlign w:val="center"/>
          </w:tcPr>
          <w:p w14:paraId="01D5D5D9">
            <w:pPr>
              <w:widowControl/>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建设</w:t>
            </w:r>
          </w:p>
          <w:p w14:paraId="05B53402">
            <w:pPr>
              <w:widowControl/>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单位</w:t>
            </w:r>
          </w:p>
        </w:tc>
        <w:tc>
          <w:tcPr>
            <w:tcW w:w="4962" w:type="dxa"/>
            <w:vAlign w:val="center"/>
          </w:tcPr>
          <w:p w14:paraId="019ECB27">
            <w:pPr>
              <w:widowControl/>
              <w:autoSpaceDE w:val="0"/>
              <w:autoSpaceDN w:val="0"/>
              <w:spacing w:line="264"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【规章】《建筑起重机械安全监督管理规定》</w:t>
            </w:r>
          </w:p>
          <w:p w14:paraId="3A697ED7">
            <w:pPr>
              <w:widowControl/>
              <w:autoSpaceDE w:val="0"/>
              <w:autoSpaceDN w:val="0"/>
              <w:spacing w:line="264"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第二十三条第二款　安装单位、使用单位拒不整改生产安全事故隐患的，建设单位接到监理单位报告后，应当责令安装单位、使用单位立即停工整改。</w:t>
            </w:r>
          </w:p>
          <w:p w14:paraId="004B5641">
            <w:pPr>
              <w:widowControl/>
              <w:autoSpaceDE w:val="0"/>
              <w:autoSpaceDN w:val="0"/>
              <w:spacing w:line="264"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第三十三条　违反本规定，建设单位有下列行为之一的，由县级以上地方人民政府建设主管部门责令限期改正，予以警告，并处以5000元以上3万元以下罚款；逾期未改的，责令停止施工：</w:t>
            </w:r>
          </w:p>
          <w:p w14:paraId="6D125085">
            <w:pPr>
              <w:widowControl/>
              <w:autoSpaceDE w:val="0"/>
              <w:autoSpaceDN w:val="0"/>
              <w:spacing w:line="264"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（二）接到监理单位报告后，未责令安装单位、使用单位立即停工整改的。</w:t>
            </w:r>
          </w:p>
        </w:tc>
        <w:tc>
          <w:tcPr>
            <w:tcW w:w="992" w:type="dxa"/>
            <w:vAlign w:val="center"/>
          </w:tcPr>
          <w:p w14:paraId="44103E26">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现场检查、书面检查</w:t>
            </w:r>
          </w:p>
        </w:tc>
        <w:tc>
          <w:tcPr>
            <w:tcW w:w="1139" w:type="dxa"/>
            <w:vAlign w:val="center"/>
          </w:tcPr>
          <w:p w14:paraId="134D41B3">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双随机+重点检查</w:t>
            </w:r>
          </w:p>
        </w:tc>
        <w:tc>
          <w:tcPr>
            <w:tcW w:w="1491" w:type="dxa"/>
            <w:vAlign w:val="center"/>
          </w:tcPr>
          <w:p w14:paraId="326354D5">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320217596000</w:t>
            </w:r>
          </w:p>
        </w:tc>
        <w:tc>
          <w:tcPr>
            <w:tcW w:w="1481" w:type="dxa"/>
            <w:vAlign w:val="center"/>
          </w:tcPr>
          <w:p w14:paraId="36E34C04">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对建设单位接到监理单位报告后，未责令安装单位、使用单位立即停工整改的处罚</w:t>
            </w:r>
          </w:p>
        </w:tc>
        <w:tc>
          <w:tcPr>
            <w:tcW w:w="622" w:type="dxa"/>
            <w:vAlign w:val="center"/>
          </w:tcPr>
          <w:p w14:paraId="59E5B61B">
            <w:pPr>
              <w:widowControl/>
              <w:autoSpaceDE w:val="0"/>
              <w:autoSpaceDN w:val="0"/>
              <w:spacing w:line="280" w:lineRule="exact"/>
              <w:jc w:val="left"/>
              <w:rPr>
                <w:rFonts w:ascii="Times New Roman" w:hAnsi="Times New Roman" w:eastAsia="仿宋_GB2312" w:cs="方正仿宋_GBK"/>
                <w:color w:val="auto"/>
                <w:szCs w:val="21"/>
              </w:rPr>
            </w:pPr>
          </w:p>
        </w:tc>
      </w:tr>
      <w:tr w14:paraId="07D2E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6" w:hRule="atLeast"/>
          <w:jc w:val="center"/>
        </w:trPr>
        <w:tc>
          <w:tcPr>
            <w:tcW w:w="536" w:type="dxa"/>
            <w:vMerge w:val="restart"/>
            <w:vAlign w:val="center"/>
          </w:tcPr>
          <w:p w14:paraId="7BE1B296">
            <w:pPr>
              <w:widowControl/>
              <w:autoSpaceDE w:val="0"/>
              <w:autoSpaceDN w:val="0"/>
              <w:spacing w:line="280" w:lineRule="exact"/>
              <w:jc w:val="center"/>
              <w:rPr>
                <w:rFonts w:hint="default" w:ascii="Times New Roman" w:hAnsi="Times New Roman" w:eastAsia="仿宋_GB2312" w:cs="方正仿宋_GBK"/>
                <w:color w:val="auto"/>
                <w:szCs w:val="21"/>
                <w:lang w:val="en-US" w:eastAsia="zh-CN"/>
              </w:rPr>
            </w:pPr>
            <w:r>
              <w:rPr>
                <w:rFonts w:hint="eastAsia" w:ascii="Times New Roman" w:hAnsi="Times New Roman" w:eastAsia="仿宋_GB2312" w:cs="方正仿宋_GBK"/>
                <w:color w:val="auto"/>
                <w:szCs w:val="21"/>
                <w:lang w:val="en-US" w:eastAsia="zh-CN"/>
              </w:rPr>
              <w:t>15</w:t>
            </w:r>
          </w:p>
        </w:tc>
        <w:tc>
          <w:tcPr>
            <w:tcW w:w="1324" w:type="dxa"/>
            <w:vMerge w:val="restart"/>
            <w:vAlign w:val="center"/>
          </w:tcPr>
          <w:p w14:paraId="509EE713">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对房屋市政工程质量、安全及文明施工情况的行政检查</w:t>
            </w:r>
          </w:p>
        </w:tc>
        <w:tc>
          <w:tcPr>
            <w:tcW w:w="794" w:type="dxa"/>
            <w:vMerge w:val="restart"/>
            <w:vAlign w:val="center"/>
          </w:tcPr>
          <w:p w14:paraId="7EC6ADAC">
            <w:pPr>
              <w:widowControl/>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苏州市相城区住房和城乡建设局</w:t>
            </w:r>
          </w:p>
        </w:tc>
        <w:tc>
          <w:tcPr>
            <w:tcW w:w="872" w:type="dxa"/>
            <w:vMerge w:val="restart"/>
            <w:vAlign w:val="center"/>
          </w:tcPr>
          <w:p w14:paraId="40AD33E2">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相城区建设工程质量安全监督中心</w:t>
            </w:r>
          </w:p>
        </w:tc>
        <w:tc>
          <w:tcPr>
            <w:tcW w:w="869" w:type="dxa"/>
            <w:vAlign w:val="center"/>
          </w:tcPr>
          <w:p w14:paraId="3F9A54B9">
            <w:pPr>
              <w:widowControl/>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建设</w:t>
            </w:r>
          </w:p>
          <w:p w14:paraId="169C7511">
            <w:pPr>
              <w:widowControl/>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单位</w:t>
            </w:r>
          </w:p>
        </w:tc>
        <w:tc>
          <w:tcPr>
            <w:tcW w:w="4962" w:type="dxa"/>
            <w:vAlign w:val="center"/>
          </w:tcPr>
          <w:p w14:paraId="5FA6D52D">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【规章】《建筑起重机械安全监督管理规定》</w:t>
            </w:r>
          </w:p>
          <w:p w14:paraId="09C1E7B2">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第二十三条第一款　依法发包给两个及两个以上施工单位的工程，不同施工单位在同一施工现场使用多台塔式起重机作业时，建设单位应当协调组织制定防止塔式起重机相互碰撞的安全措施。</w:t>
            </w:r>
          </w:p>
          <w:p w14:paraId="0FA898BF">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第三十三条　违反本规定，建设单位有下列行为之一的，由县级以上地方人民政府建设主管部门责令限期改正，予以警告，并处以5000元以上3万元以下罚款；逾期未改的，责令停止施工：</w:t>
            </w:r>
          </w:p>
          <w:p w14:paraId="08B3F8AD">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（一）未按照规定协调组织制定防止多台塔式起重机相互碰撞的安全措施的；</w:t>
            </w:r>
          </w:p>
        </w:tc>
        <w:tc>
          <w:tcPr>
            <w:tcW w:w="992" w:type="dxa"/>
            <w:vAlign w:val="center"/>
          </w:tcPr>
          <w:p w14:paraId="689C4DCA">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现场检查、书面检查</w:t>
            </w:r>
          </w:p>
        </w:tc>
        <w:tc>
          <w:tcPr>
            <w:tcW w:w="1139" w:type="dxa"/>
            <w:vAlign w:val="center"/>
          </w:tcPr>
          <w:p w14:paraId="73A64BD0">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双随机+重点检查</w:t>
            </w:r>
          </w:p>
        </w:tc>
        <w:tc>
          <w:tcPr>
            <w:tcW w:w="1491" w:type="dxa"/>
            <w:vAlign w:val="center"/>
          </w:tcPr>
          <w:p w14:paraId="70277EB0">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320217593000</w:t>
            </w:r>
          </w:p>
        </w:tc>
        <w:tc>
          <w:tcPr>
            <w:tcW w:w="1481" w:type="dxa"/>
            <w:vAlign w:val="center"/>
          </w:tcPr>
          <w:p w14:paraId="3A0710C0">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对建设单位未按照规定协调组织制定防止多台塔式起重机相互碰撞的安全措施的处罚</w:t>
            </w:r>
          </w:p>
        </w:tc>
        <w:tc>
          <w:tcPr>
            <w:tcW w:w="622" w:type="dxa"/>
            <w:vAlign w:val="center"/>
          </w:tcPr>
          <w:p w14:paraId="413CFA09">
            <w:pPr>
              <w:widowControl/>
              <w:autoSpaceDE w:val="0"/>
              <w:autoSpaceDN w:val="0"/>
              <w:spacing w:line="280" w:lineRule="exact"/>
              <w:jc w:val="left"/>
              <w:rPr>
                <w:rFonts w:ascii="Times New Roman" w:hAnsi="Times New Roman" w:eastAsia="仿宋_GB2312" w:cs="方正仿宋_GBK"/>
                <w:color w:val="auto"/>
                <w:szCs w:val="21"/>
              </w:rPr>
            </w:pPr>
          </w:p>
        </w:tc>
      </w:tr>
      <w:tr w14:paraId="58C00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9" w:hRule="atLeast"/>
          <w:jc w:val="center"/>
        </w:trPr>
        <w:tc>
          <w:tcPr>
            <w:tcW w:w="536" w:type="dxa"/>
            <w:vMerge w:val="continue"/>
            <w:vAlign w:val="center"/>
          </w:tcPr>
          <w:p w14:paraId="35E69EEC">
            <w:pPr>
              <w:widowControl/>
              <w:autoSpaceDE w:val="0"/>
              <w:autoSpaceDN w:val="0"/>
              <w:spacing w:line="280" w:lineRule="exact"/>
              <w:jc w:val="left"/>
              <w:rPr>
                <w:rFonts w:ascii="Times New Roman" w:hAnsi="Times New Roman" w:eastAsia="仿宋_GB2312" w:cs="方正仿宋_GBK"/>
                <w:color w:val="auto"/>
                <w:szCs w:val="21"/>
              </w:rPr>
            </w:pPr>
          </w:p>
        </w:tc>
        <w:tc>
          <w:tcPr>
            <w:tcW w:w="1324" w:type="dxa"/>
            <w:vMerge w:val="continue"/>
            <w:vAlign w:val="center"/>
          </w:tcPr>
          <w:p w14:paraId="25F05902">
            <w:pPr>
              <w:widowControl/>
              <w:autoSpaceDE w:val="0"/>
              <w:autoSpaceDN w:val="0"/>
              <w:spacing w:line="280" w:lineRule="exact"/>
              <w:jc w:val="left"/>
              <w:rPr>
                <w:rFonts w:ascii="Times New Roman" w:hAnsi="Times New Roman" w:eastAsia="仿宋_GB2312" w:cs="方正仿宋_GBK"/>
                <w:color w:val="auto"/>
                <w:szCs w:val="21"/>
              </w:rPr>
            </w:pPr>
          </w:p>
        </w:tc>
        <w:tc>
          <w:tcPr>
            <w:tcW w:w="794" w:type="dxa"/>
            <w:vMerge w:val="continue"/>
            <w:vAlign w:val="center"/>
          </w:tcPr>
          <w:p w14:paraId="13153D71">
            <w:pPr>
              <w:widowControl/>
              <w:autoSpaceDE w:val="0"/>
              <w:autoSpaceDN w:val="0"/>
              <w:spacing w:line="280" w:lineRule="exact"/>
              <w:jc w:val="left"/>
              <w:rPr>
                <w:rFonts w:ascii="Times New Roman" w:hAnsi="Times New Roman" w:eastAsia="仿宋_GB2312" w:cs="方正仿宋_GBK"/>
                <w:color w:val="auto"/>
                <w:szCs w:val="21"/>
              </w:rPr>
            </w:pPr>
          </w:p>
        </w:tc>
        <w:tc>
          <w:tcPr>
            <w:tcW w:w="872" w:type="dxa"/>
            <w:vMerge w:val="continue"/>
            <w:vAlign w:val="center"/>
          </w:tcPr>
          <w:p w14:paraId="3626912A">
            <w:pPr>
              <w:widowControl/>
              <w:autoSpaceDE w:val="0"/>
              <w:autoSpaceDN w:val="0"/>
              <w:spacing w:line="280" w:lineRule="exact"/>
              <w:jc w:val="left"/>
              <w:rPr>
                <w:rFonts w:ascii="Times New Roman" w:hAnsi="Times New Roman" w:eastAsia="仿宋_GB2312" w:cs="方正仿宋_GBK"/>
                <w:color w:val="auto"/>
                <w:szCs w:val="21"/>
              </w:rPr>
            </w:pPr>
          </w:p>
        </w:tc>
        <w:tc>
          <w:tcPr>
            <w:tcW w:w="869" w:type="dxa"/>
            <w:vAlign w:val="center"/>
          </w:tcPr>
          <w:p w14:paraId="1805B968">
            <w:pPr>
              <w:widowControl/>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监理</w:t>
            </w:r>
          </w:p>
          <w:p w14:paraId="5662FB17">
            <w:pPr>
              <w:widowControl/>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单位</w:t>
            </w:r>
          </w:p>
        </w:tc>
        <w:tc>
          <w:tcPr>
            <w:tcW w:w="4962" w:type="dxa"/>
            <w:vAlign w:val="center"/>
          </w:tcPr>
          <w:p w14:paraId="6362BF01">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【规章】《江苏省房屋建筑和市政基础设施工程质量监督管理办法》</w:t>
            </w:r>
          </w:p>
          <w:p w14:paraId="20620B5F">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第二十条  监理单位应当履行下列工程质量义务：</w:t>
            </w:r>
          </w:p>
          <w:p w14:paraId="6C381BA4">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（五）按照规定对涉及结构安全的试块、试件以及有关材料进行见证取样和送检。</w:t>
            </w:r>
          </w:p>
          <w:p w14:paraId="63C1CE3A">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第二十六条  违反本办法第二十条规定，监理单位有下列行为之一的，由住房和城乡建设行政主管部门责令改正，并可处1万元以上3万元以下罚款：</w:t>
            </w:r>
          </w:p>
          <w:p w14:paraId="6BABA71B">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（二）未按照规定对涉及结构安全的试块、试件以及有关材料进行见证取样和送检的。</w:t>
            </w:r>
          </w:p>
        </w:tc>
        <w:tc>
          <w:tcPr>
            <w:tcW w:w="992" w:type="dxa"/>
            <w:vAlign w:val="center"/>
          </w:tcPr>
          <w:p w14:paraId="352DF4AC">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现场检查、书面检查</w:t>
            </w:r>
          </w:p>
        </w:tc>
        <w:tc>
          <w:tcPr>
            <w:tcW w:w="1139" w:type="dxa"/>
            <w:vAlign w:val="center"/>
          </w:tcPr>
          <w:p w14:paraId="78BF2B4F">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双随机+重点检查</w:t>
            </w:r>
          </w:p>
        </w:tc>
        <w:tc>
          <w:tcPr>
            <w:tcW w:w="1491" w:type="dxa"/>
            <w:vAlign w:val="center"/>
          </w:tcPr>
          <w:p w14:paraId="7D050DDF">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320217584000</w:t>
            </w:r>
          </w:p>
        </w:tc>
        <w:tc>
          <w:tcPr>
            <w:tcW w:w="1481" w:type="dxa"/>
            <w:vAlign w:val="center"/>
          </w:tcPr>
          <w:p w14:paraId="5FBD93FB">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对监理单位未按照规定对涉及结构安全的试块、试件以及有关材料进行见证取样和送检的处罚</w:t>
            </w:r>
          </w:p>
        </w:tc>
        <w:tc>
          <w:tcPr>
            <w:tcW w:w="622" w:type="dxa"/>
            <w:vAlign w:val="center"/>
          </w:tcPr>
          <w:p w14:paraId="23F260D0">
            <w:pPr>
              <w:widowControl/>
              <w:autoSpaceDE w:val="0"/>
              <w:autoSpaceDN w:val="0"/>
              <w:spacing w:line="280" w:lineRule="exact"/>
              <w:jc w:val="left"/>
              <w:rPr>
                <w:rFonts w:ascii="Times New Roman" w:hAnsi="Times New Roman" w:eastAsia="仿宋_GB2312" w:cs="方正仿宋_GBK"/>
                <w:color w:val="auto"/>
                <w:szCs w:val="21"/>
              </w:rPr>
            </w:pPr>
          </w:p>
        </w:tc>
      </w:tr>
      <w:tr w14:paraId="2800B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6" w:type="dxa"/>
            <w:vMerge w:val="restart"/>
            <w:vAlign w:val="center"/>
          </w:tcPr>
          <w:p w14:paraId="245F3505">
            <w:pPr>
              <w:autoSpaceDE w:val="0"/>
              <w:autoSpaceDN w:val="0"/>
              <w:spacing w:line="280" w:lineRule="exact"/>
              <w:jc w:val="center"/>
              <w:rPr>
                <w:rFonts w:hint="default" w:ascii="Times New Roman" w:hAnsi="Times New Roman" w:eastAsia="仿宋_GB2312" w:cs="方正仿宋_GBK"/>
                <w:color w:val="auto"/>
                <w:szCs w:val="21"/>
                <w:lang w:val="en-US" w:eastAsia="zh-CN"/>
              </w:rPr>
            </w:pPr>
            <w:r>
              <w:rPr>
                <w:rFonts w:hint="eastAsia" w:ascii="Times New Roman" w:hAnsi="Times New Roman" w:eastAsia="仿宋_GB2312" w:cs="方正仿宋_GBK"/>
                <w:color w:val="auto"/>
                <w:szCs w:val="21"/>
                <w:lang w:val="en-US" w:eastAsia="zh-CN"/>
              </w:rPr>
              <w:t>15</w:t>
            </w:r>
          </w:p>
        </w:tc>
        <w:tc>
          <w:tcPr>
            <w:tcW w:w="1324" w:type="dxa"/>
            <w:vMerge w:val="restart"/>
            <w:vAlign w:val="center"/>
          </w:tcPr>
          <w:p w14:paraId="34A72C48">
            <w:pPr>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对房屋市政工程质量、安全及文明施工情况的行政检查</w:t>
            </w:r>
          </w:p>
        </w:tc>
        <w:tc>
          <w:tcPr>
            <w:tcW w:w="794" w:type="dxa"/>
            <w:vMerge w:val="restart"/>
            <w:vAlign w:val="center"/>
          </w:tcPr>
          <w:p w14:paraId="3A140B35">
            <w:pPr>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苏州市相城区住房和城乡建设局</w:t>
            </w:r>
          </w:p>
        </w:tc>
        <w:tc>
          <w:tcPr>
            <w:tcW w:w="872" w:type="dxa"/>
            <w:vMerge w:val="restart"/>
            <w:vAlign w:val="center"/>
          </w:tcPr>
          <w:p w14:paraId="449A3E74">
            <w:pPr>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相城区建设工程质量安全监督中心</w:t>
            </w:r>
          </w:p>
        </w:tc>
        <w:tc>
          <w:tcPr>
            <w:tcW w:w="869" w:type="dxa"/>
            <w:vAlign w:val="center"/>
          </w:tcPr>
          <w:p w14:paraId="1D377E12">
            <w:pPr>
              <w:widowControl/>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监理</w:t>
            </w:r>
          </w:p>
          <w:p w14:paraId="33490D8B">
            <w:pPr>
              <w:widowControl/>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单位</w:t>
            </w:r>
          </w:p>
        </w:tc>
        <w:tc>
          <w:tcPr>
            <w:tcW w:w="4962" w:type="dxa"/>
            <w:vAlign w:val="center"/>
          </w:tcPr>
          <w:p w14:paraId="0588FE60">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【规章】《江苏省房屋建筑和市政基础设施工程质量监督管理办法》</w:t>
            </w:r>
          </w:p>
          <w:p w14:paraId="2B2FABB6">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第二十条  监理单位应当履行下列工程质量义务：</w:t>
            </w:r>
          </w:p>
          <w:p w14:paraId="0E44C708">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（三）对施工单位的违法违规行为，应当予以书面制止并整改验收闭合；制止无效的，应当及时报告建设单位处理。</w:t>
            </w:r>
          </w:p>
          <w:p w14:paraId="1F23101E">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第二十六条  违反本办法第二十条规定，监理单位有下列行为之一的，由住房和城乡建设行政主管部门责令改正，并可处1万元以上3万元以下罚款：</w:t>
            </w:r>
          </w:p>
          <w:p w14:paraId="53FD56DC">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（一）未对施工单位的违法违规行为予以书面制止，或者整改验收未闭合以及制止无效时未及时报告建设单位处理的。</w:t>
            </w:r>
          </w:p>
        </w:tc>
        <w:tc>
          <w:tcPr>
            <w:tcW w:w="992" w:type="dxa"/>
            <w:vMerge w:val="restart"/>
            <w:vAlign w:val="center"/>
          </w:tcPr>
          <w:p w14:paraId="2FA7A1F3">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现场检查、书面检查</w:t>
            </w:r>
          </w:p>
        </w:tc>
        <w:tc>
          <w:tcPr>
            <w:tcW w:w="1139" w:type="dxa"/>
            <w:vMerge w:val="restart"/>
            <w:vAlign w:val="center"/>
          </w:tcPr>
          <w:p w14:paraId="4F3291FA">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双随机+重点检查</w:t>
            </w:r>
          </w:p>
        </w:tc>
        <w:tc>
          <w:tcPr>
            <w:tcW w:w="1491" w:type="dxa"/>
            <w:vAlign w:val="center"/>
          </w:tcPr>
          <w:p w14:paraId="5A8DEFE9">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320217583000</w:t>
            </w:r>
          </w:p>
        </w:tc>
        <w:tc>
          <w:tcPr>
            <w:tcW w:w="1481" w:type="dxa"/>
            <w:vAlign w:val="center"/>
          </w:tcPr>
          <w:p w14:paraId="2C43B386">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对监理单位未对施工单位的违法违规行为予以书面制止，或者整改验收未闭合以及制止无效时未及时报告建设单位处理的处罚</w:t>
            </w:r>
          </w:p>
        </w:tc>
        <w:tc>
          <w:tcPr>
            <w:tcW w:w="622" w:type="dxa"/>
            <w:vAlign w:val="center"/>
          </w:tcPr>
          <w:p w14:paraId="612B63CA">
            <w:pPr>
              <w:widowControl/>
              <w:autoSpaceDE w:val="0"/>
              <w:autoSpaceDN w:val="0"/>
              <w:spacing w:line="280" w:lineRule="exact"/>
              <w:jc w:val="left"/>
              <w:rPr>
                <w:rFonts w:ascii="Times New Roman" w:hAnsi="Times New Roman" w:eastAsia="仿宋_GB2312" w:cs="方正仿宋_GBK"/>
                <w:color w:val="auto"/>
                <w:szCs w:val="21"/>
              </w:rPr>
            </w:pPr>
          </w:p>
        </w:tc>
      </w:tr>
      <w:tr w14:paraId="08F83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6" w:type="dxa"/>
            <w:vMerge w:val="continue"/>
            <w:vAlign w:val="center"/>
          </w:tcPr>
          <w:p w14:paraId="372782EB">
            <w:pPr>
              <w:widowControl/>
              <w:autoSpaceDE w:val="0"/>
              <w:autoSpaceDN w:val="0"/>
              <w:spacing w:line="280" w:lineRule="exact"/>
              <w:jc w:val="left"/>
              <w:rPr>
                <w:rFonts w:ascii="Times New Roman" w:hAnsi="Times New Roman" w:eastAsia="仿宋_GB2312" w:cs="方正仿宋_GBK"/>
                <w:color w:val="auto"/>
                <w:szCs w:val="21"/>
              </w:rPr>
            </w:pPr>
          </w:p>
        </w:tc>
        <w:tc>
          <w:tcPr>
            <w:tcW w:w="1324" w:type="dxa"/>
            <w:vMerge w:val="continue"/>
            <w:vAlign w:val="center"/>
          </w:tcPr>
          <w:p w14:paraId="751EDE69">
            <w:pPr>
              <w:widowControl/>
              <w:autoSpaceDE w:val="0"/>
              <w:autoSpaceDN w:val="0"/>
              <w:spacing w:line="280" w:lineRule="exact"/>
              <w:jc w:val="left"/>
              <w:rPr>
                <w:rFonts w:ascii="Times New Roman" w:hAnsi="Times New Roman" w:eastAsia="仿宋_GB2312" w:cs="方正仿宋_GBK"/>
                <w:color w:val="auto"/>
                <w:szCs w:val="21"/>
              </w:rPr>
            </w:pPr>
          </w:p>
        </w:tc>
        <w:tc>
          <w:tcPr>
            <w:tcW w:w="794" w:type="dxa"/>
            <w:vMerge w:val="continue"/>
            <w:vAlign w:val="center"/>
          </w:tcPr>
          <w:p w14:paraId="1C89BDBB">
            <w:pPr>
              <w:widowControl/>
              <w:autoSpaceDE w:val="0"/>
              <w:autoSpaceDN w:val="0"/>
              <w:spacing w:line="280" w:lineRule="exact"/>
              <w:jc w:val="left"/>
              <w:rPr>
                <w:rFonts w:ascii="Times New Roman" w:hAnsi="Times New Roman" w:eastAsia="仿宋_GB2312" w:cs="方正仿宋_GBK"/>
                <w:color w:val="auto"/>
                <w:szCs w:val="21"/>
              </w:rPr>
            </w:pPr>
          </w:p>
        </w:tc>
        <w:tc>
          <w:tcPr>
            <w:tcW w:w="872" w:type="dxa"/>
            <w:vMerge w:val="continue"/>
            <w:vAlign w:val="center"/>
          </w:tcPr>
          <w:p w14:paraId="58F8CE20">
            <w:pPr>
              <w:widowControl/>
              <w:autoSpaceDE w:val="0"/>
              <w:autoSpaceDN w:val="0"/>
              <w:spacing w:line="280" w:lineRule="exact"/>
              <w:jc w:val="left"/>
              <w:rPr>
                <w:rFonts w:ascii="Times New Roman" w:hAnsi="Times New Roman" w:eastAsia="仿宋_GB2312" w:cs="方正仿宋_GBK"/>
                <w:color w:val="auto"/>
                <w:szCs w:val="21"/>
              </w:rPr>
            </w:pPr>
          </w:p>
        </w:tc>
        <w:tc>
          <w:tcPr>
            <w:tcW w:w="869" w:type="dxa"/>
            <w:vAlign w:val="center"/>
          </w:tcPr>
          <w:p w14:paraId="54BF3394">
            <w:pPr>
              <w:widowControl/>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施工</w:t>
            </w:r>
          </w:p>
          <w:p w14:paraId="1B8D38B8">
            <w:pPr>
              <w:widowControl/>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单位</w:t>
            </w:r>
          </w:p>
        </w:tc>
        <w:tc>
          <w:tcPr>
            <w:tcW w:w="4962" w:type="dxa"/>
            <w:vAlign w:val="center"/>
          </w:tcPr>
          <w:p w14:paraId="47EF7BBE">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【规章】《江苏省房屋建筑和市政基础设施工程质量监督管理办法》</w:t>
            </w:r>
          </w:p>
          <w:p w14:paraId="235A1B6F">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第十九条  施工单位应当履行下列工程质量义务：</w:t>
            </w:r>
          </w:p>
          <w:p w14:paraId="20AAADFF">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（五）及时、同步收集整理施工质量控制资料，并符合有关规定要求，不得弄虚作假。</w:t>
            </w:r>
          </w:p>
          <w:p w14:paraId="5BB417AA">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第二十五条  违反本办法第十九条规定，施工单位有下列行为之一的，由住房和城乡建设行政主管部门责令改正，并可处5000元以上3万元以下罚款：</w:t>
            </w:r>
          </w:p>
          <w:p w14:paraId="5924A488">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（四）未及时、同步按照规定收集整理施工质量控制资料，或者弄虚作假的。</w:t>
            </w:r>
          </w:p>
        </w:tc>
        <w:tc>
          <w:tcPr>
            <w:tcW w:w="992" w:type="dxa"/>
            <w:vMerge w:val="continue"/>
            <w:vAlign w:val="center"/>
          </w:tcPr>
          <w:p w14:paraId="19E83F64">
            <w:pPr>
              <w:autoSpaceDE w:val="0"/>
              <w:autoSpaceDN w:val="0"/>
              <w:spacing w:line="280" w:lineRule="exact"/>
              <w:jc w:val="left"/>
              <w:rPr>
                <w:rFonts w:ascii="Times New Roman" w:hAnsi="Times New Roman" w:eastAsia="仿宋_GB2312" w:cs="方正仿宋_GBK"/>
                <w:color w:val="auto"/>
                <w:szCs w:val="21"/>
              </w:rPr>
            </w:pPr>
          </w:p>
        </w:tc>
        <w:tc>
          <w:tcPr>
            <w:tcW w:w="1139" w:type="dxa"/>
            <w:vMerge w:val="continue"/>
            <w:vAlign w:val="center"/>
          </w:tcPr>
          <w:p w14:paraId="3EAE4D00">
            <w:pPr>
              <w:autoSpaceDE w:val="0"/>
              <w:autoSpaceDN w:val="0"/>
              <w:spacing w:line="280" w:lineRule="exact"/>
              <w:jc w:val="left"/>
              <w:rPr>
                <w:rFonts w:ascii="Times New Roman" w:hAnsi="Times New Roman" w:eastAsia="仿宋_GB2312" w:cs="方正仿宋_GBK"/>
                <w:color w:val="auto"/>
                <w:szCs w:val="21"/>
              </w:rPr>
            </w:pPr>
          </w:p>
        </w:tc>
        <w:tc>
          <w:tcPr>
            <w:tcW w:w="1491" w:type="dxa"/>
            <w:vAlign w:val="center"/>
          </w:tcPr>
          <w:p w14:paraId="330752E2">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320217582000</w:t>
            </w:r>
          </w:p>
        </w:tc>
        <w:tc>
          <w:tcPr>
            <w:tcW w:w="1481" w:type="dxa"/>
            <w:vAlign w:val="center"/>
          </w:tcPr>
          <w:p w14:paraId="675F1035">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对施工单位未及时、同步按照规定收集整理施工质量控制资料，或者弄虚作假的处罚</w:t>
            </w:r>
          </w:p>
        </w:tc>
        <w:tc>
          <w:tcPr>
            <w:tcW w:w="622" w:type="dxa"/>
            <w:vAlign w:val="center"/>
          </w:tcPr>
          <w:p w14:paraId="06E07A85">
            <w:pPr>
              <w:widowControl/>
              <w:autoSpaceDE w:val="0"/>
              <w:autoSpaceDN w:val="0"/>
              <w:spacing w:line="280" w:lineRule="exact"/>
              <w:jc w:val="left"/>
              <w:rPr>
                <w:rFonts w:ascii="Times New Roman" w:hAnsi="Times New Roman" w:eastAsia="仿宋_GB2312" w:cs="方正仿宋_GBK"/>
                <w:color w:val="auto"/>
                <w:szCs w:val="21"/>
              </w:rPr>
            </w:pPr>
          </w:p>
        </w:tc>
      </w:tr>
      <w:tr w14:paraId="4E7E14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9" w:hRule="atLeast"/>
          <w:jc w:val="center"/>
        </w:trPr>
        <w:tc>
          <w:tcPr>
            <w:tcW w:w="536" w:type="dxa"/>
            <w:vMerge w:val="continue"/>
            <w:vAlign w:val="center"/>
          </w:tcPr>
          <w:p w14:paraId="224CD6EA">
            <w:pPr>
              <w:widowControl/>
              <w:autoSpaceDE w:val="0"/>
              <w:autoSpaceDN w:val="0"/>
              <w:spacing w:line="280" w:lineRule="exact"/>
              <w:jc w:val="left"/>
              <w:rPr>
                <w:rFonts w:ascii="Times New Roman" w:hAnsi="Times New Roman" w:eastAsia="仿宋_GB2312" w:cs="方正仿宋_GBK"/>
                <w:color w:val="auto"/>
                <w:szCs w:val="21"/>
              </w:rPr>
            </w:pPr>
          </w:p>
        </w:tc>
        <w:tc>
          <w:tcPr>
            <w:tcW w:w="1324" w:type="dxa"/>
            <w:vMerge w:val="continue"/>
            <w:vAlign w:val="center"/>
          </w:tcPr>
          <w:p w14:paraId="2FEF6EAA">
            <w:pPr>
              <w:widowControl/>
              <w:autoSpaceDE w:val="0"/>
              <w:autoSpaceDN w:val="0"/>
              <w:spacing w:line="280" w:lineRule="exact"/>
              <w:jc w:val="left"/>
              <w:rPr>
                <w:rFonts w:ascii="Times New Roman" w:hAnsi="Times New Roman" w:eastAsia="仿宋_GB2312" w:cs="方正仿宋_GBK"/>
                <w:color w:val="auto"/>
                <w:szCs w:val="21"/>
              </w:rPr>
            </w:pPr>
          </w:p>
        </w:tc>
        <w:tc>
          <w:tcPr>
            <w:tcW w:w="794" w:type="dxa"/>
            <w:vMerge w:val="continue"/>
            <w:vAlign w:val="center"/>
          </w:tcPr>
          <w:p w14:paraId="0B3D0579">
            <w:pPr>
              <w:widowControl/>
              <w:autoSpaceDE w:val="0"/>
              <w:autoSpaceDN w:val="0"/>
              <w:spacing w:line="280" w:lineRule="exact"/>
              <w:jc w:val="left"/>
              <w:rPr>
                <w:rFonts w:ascii="Times New Roman" w:hAnsi="Times New Roman" w:eastAsia="仿宋_GB2312" w:cs="方正仿宋_GBK"/>
                <w:color w:val="auto"/>
                <w:szCs w:val="21"/>
              </w:rPr>
            </w:pPr>
          </w:p>
        </w:tc>
        <w:tc>
          <w:tcPr>
            <w:tcW w:w="872" w:type="dxa"/>
            <w:vMerge w:val="continue"/>
            <w:vAlign w:val="center"/>
          </w:tcPr>
          <w:p w14:paraId="23AC3DFA">
            <w:pPr>
              <w:widowControl/>
              <w:autoSpaceDE w:val="0"/>
              <w:autoSpaceDN w:val="0"/>
              <w:spacing w:line="280" w:lineRule="exact"/>
              <w:jc w:val="left"/>
              <w:rPr>
                <w:rFonts w:ascii="Times New Roman" w:hAnsi="Times New Roman" w:eastAsia="仿宋_GB2312" w:cs="方正仿宋_GBK"/>
                <w:color w:val="auto"/>
                <w:szCs w:val="21"/>
              </w:rPr>
            </w:pPr>
          </w:p>
        </w:tc>
        <w:tc>
          <w:tcPr>
            <w:tcW w:w="869" w:type="dxa"/>
            <w:vAlign w:val="center"/>
          </w:tcPr>
          <w:p w14:paraId="625A2370">
            <w:pPr>
              <w:widowControl/>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施工总承包单位</w:t>
            </w:r>
          </w:p>
        </w:tc>
        <w:tc>
          <w:tcPr>
            <w:tcW w:w="4962" w:type="dxa"/>
            <w:vAlign w:val="center"/>
          </w:tcPr>
          <w:p w14:paraId="019E70CB">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【规章】《建筑起重机械安全监督管理规定》</w:t>
            </w:r>
          </w:p>
          <w:p w14:paraId="0BD74A5A">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第二十一条　施工总承包单位应当履行下列安全职责：</w:t>
            </w:r>
          </w:p>
          <w:p w14:paraId="45C65D6D">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（五）审核使用单位制定的建筑起重机械生产安</w:t>
            </w:r>
          </w:p>
        </w:tc>
        <w:tc>
          <w:tcPr>
            <w:tcW w:w="992" w:type="dxa"/>
            <w:vMerge w:val="continue"/>
            <w:vAlign w:val="center"/>
          </w:tcPr>
          <w:p w14:paraId="397611B7">
            <w:pPr>
              <w:widowControl/>
              <w:autoSpaceDE w:val="0"/>
              <w:autoSpaceDN w:val="0"/>
              <w:spacing w:line="280" w:lineRule="exact"/>
              <w:jc w:val="left"/>
              <w:rPr>
                <w:rFonts w:ascii="Times New Roman" w:hAnsi="Times New Roman" w:eastAsia="仿宋_GB2312" w:cs="方正仿宋_GBK"/>
                <w:color w:val="auto"/>
                <w:szCs w:val="21"/>
              </w:rPr>
            </w:pPr>
          </w:p>
        </w:tc>
        <w:tc>
          <w:tcPr>
            <w:tcW w:w="1139" w:type="dxa"/>
            <w:vMerge w:val="continue"/>
            <w:vAlign w:val="center"/>
          </w:tcPr>
          <w:p w14:paraId="6CCD73BD">
            <w:pPr>
              <w:widowControl/>
              <w:autoSpaceDE w:val="0"/>
              <w:autoSpaceDN w:val="0"/>
              <w:spacing w:line="280" w:lineRule="exact"/>
              <w:jc w:val="left"/>
              <w:rPr>
                <w:rFonts w:ascii="Times New Roman" w:hAnsi="Times New Roman" w:eastAsia="仿宋_GB2312" w:cs="方正仿宋_GBK"/>
                <w:color w:val="auto"/>
                <w:szCs w:val="21"/>
              </w:rPr>
            </w:pPr>
          </w:p>
        </w:tc>
        <w:tc>
          <w:tcPr>
            <w:tcW w:w="1491" w:type="dxa"/>
            <w:vAlign w:val="center"/>
          </w:tcPr>
          <w:p w14:paraId="00E75AF6">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320217577000</w:t>
            </w:r>
          </w:p>
        </w:tc>
        <w:tc>
          <w:tcPr>
            <w:tcW w:w="1481" w:type="dxa"/>
            <w:vAlign w:val="center"/>
          </w:tcPr>
          <w:p w14:paraId="7AB2EDF8">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对施工总承包单位未审核使用单位制定的建筑起重机械生产安全事故</w:t>
            </w:r>
          </w:p>
        </w:tc>
        <w:tc>
          <w:tcPr>
            <w:tcW w:w="622" w:type="dxa"/>
            <w:vAlign w:val="center"/>
          </w:tcPr>
          <w:p w14:paraId="6E6DFCDD">
            <w:pPr>
              <w:widowControl/>
              <w:autoSpaceDE w:val="0"/>
              <w:autoSpaceDN w:val="0"/>
              <w:spacing w:line="280" w:lineRule="exact"/>
              <w:jc w:val="left"/>
              <w:rPr>
                <w:rFonts w:ascii="Times New Roman" w:hAnsi="Times New Roman" w:eastAsia="仿宋_GB2312" w:cs="方正仿宋_GBK"/>
                <w:color w:val="auto"/>
                <w:szCs w:val="21"/>
              </w:rPr>
            </w:pPr>
          </w:p>
        </w:tc>
      </w:tr>
      <w:tr w14:paraId="62B900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6" w:type="dxa"/>
            <w:vMerge w:val="restart"/>
            <w:vAlign w:val="center"/>
          </w:tcPr>
          <w:p w14:paraId="55AF7C1E">
            <w:pPr>
              <w:autoSpaceDE w:val="0"/>
              <w:autoSpaceDN w:val="0"/>
              <w:spacing w:line="280" w:lineRule="exact"/>
              <w:jc w:val="center"/>
              <w:rPr>
                <w:rFonts w:hint="default" w:ascii="Times New Roman" w:hAnsi="Times New Roman" w:eastAsia="仿宋_GB2312" w:cs="方正仿宋_GBK"/>
                <w:color w:val="auto"/>
                <w:szCs w:val="21"/>
                <w:lang w:val="en-US" w:eastAsia="zh-CN"/>
              </w:rPr>
            </w:pPr>
            <w:r>
              <w:rPr>
                <w:rFonts w:hint="eastAsia" w:ascii="Times New Roman" w:hAnsi="Times New Roman" w:eastAsia="仿宋_GB2312" w:cs="方正仿宋_GBK"/>
                <w:color w:val="auto"/>
                <w:szCs w:val="21"/>
                <w:lang w:val="en-US" w:eastAsia="zh-CN"/>
              </w:rPr>
              <w:t>15</w:t>
            </w:r>
          </w:p>
        </w:tc>
        <w:tc>
          <w:tcPr>
            <w:tcW w:w="1324" w:type="dxa"/>
            <w:vMerge w:val="restart"/>
            <w:vAlign w:val="center"/>
          </w:tcPr>
          <w:p w14:paraId="184BDFB1">
            <w:pPr>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对房屋市政工程质量、安全及文明施工情况的行政检查</w:t>
            </w:r>
          </w:p>
        </w:tc>
        <w:tc>
          <w:tcPr>
            <w:tcW w:w="794" w:type="dxa"/>
            <w:vMerge w:val="restart"/>
            <w:vAlign w:val="center"/>
          </w:tcPr>
          <w:p w14:paraId="546F1DC0">
            <w:pPr>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苏州市相城区住房和城乡建设局</w:t>
            </w:r>
          </w:p>
        </w:tc>
        <w:tc>
          <w:tcPr>
            <w:tcW w:w="872" w:type="dxa"/>
            <w:vMerge w:val="restart"/>
            <w:vAlign w:val="center"/>
          </w:tcPr>
          <w:p w14:paraId="6ECBCFBD">
            <w:pPr>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相城区建设工程质量安全监督中心</w:t>
            </w:r>
          </w:p>
        </w:tc>
        <w:tc>
          <w:tcPr>
            <w:tcW w:w="869" w:type="dxa"/>
            <w:vMerge w:val="restart"/>
            <w:vAlign w:val="center"/>
          </w:tcPr>
          <w:p w14:paraId="0C31B6A5">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施工总承包单位</w:t>
            </w:r>
          </w:p>
        </w:tc>
        <w:tc>
          <w:tcPr>
            <w:tcW w:w="4962" w:type="dxa"/>
            <w:vAlign w:val="center"/>
          </w:tcPr>
          <w:p w14:paraId="0E965F6B">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全事故应急救援预案。</w:t>
            </w:r>
          </w:p>
          <w:p w14:paraId="08584F28">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第三十一条　违反本规定，施工总承包单位未履行第二十一条第（一）、（三）、（四）、（五）、（七）项安全职责的，由县级以上地方人民政府建设主管部门责令限期改正，予以警告，并处以5000元以上3万元以下罚款。</w:t>
            </w:r>
          </w:p>
        </w:tc>
        <w:tc>
          <w:tcPr>
            <w:tcW w:w="992" w:type="dxa"/>
            <w:vMerge w:val="restart"/>
            <w:vAlign w:val="center"/>
          </w:tcPr>
          <w:p w14:paraId="293E76EC">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现场检查、书面检查</w:t>
            </w:r>
          </w:p>
        </w:tc>
        <w:tc>
          <w:tcPr>
            <w:tcW w:w="1139" w:type="dxa"/>
            <w:vMerge w:val="restart"/>
            <w:vAlign w:val="center"/>
          </w:tcPr>
          <w:p w14:paraId="42CAF38E">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双随机+重点检查</w:t>
            </w:r>
          </w:p>
        </w:tc>
        <w:tc>
          <w:tcPr>
            <w:tcW w:w="1491" w:type="dxa"/>
            <w:vAlign w:val="center"/>
          </w:tcPr>
          <w:p w14:paraId="6D16BB5E">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320217577000</w:t>
            </w:r>
          </w:p>
        </w:tc>
        <w:tc>
          <w:tcPr>
            <w:tcW w:w="1481" w:type="dxa"/>
            <w:vAlign w:val="center"/>
          </w:tcPr>
          <w:p w14:paraId="4177CF15">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应急救援预案的处罚</w:t>
            </w:r>
          </w:p>
        </w:tc>
        <w:tc>
          <w:tcPr>
            <w:tcW w:w="622" w:type="dxa"/>
            <w:vAlign w:val="center"/>
          </w:tcPr>
          <w:p w14:paraId="0BA16E16">
            <w:pPr>
              <w:widowControl/>
              <w:autoSpaceDE w:val="0"/>
              <w:autoSpaceDN w:val="0"/>
              <w:spacing w:line="280" w:lineRule="exact"/>
              <w:jc w:val="left"/>
              <w:rPr>
                <w:rFonts w:ascii="Times New Roman" w:hAnsi="Times New Roman" w:eastAsia="仿宋_GB2312" w:cs="方正仿宋_GBK"/>
                <w:color w:val="auto"/>
                <w:szCs w:val="21"/>
              </w:rPr>
            </w:pPr>
          </w:p>
        </w:tc>
      </w:tr>
      <w:tr w14:paraId="520E1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6" w:type="dxa"/>
            <w:vMerge w:val="continue"/>
            <w:vAlign w:val="center"/>
          </w:tcPr>
          <w:p w14:paraId="7C27D184">
            <w:pPr>
              <w:widowControl/>
              <w:autoSpaceDE w:val="0"/>
              <w:autoSpaceDN w:val="0"/>
              <w:spacing w:line="280" w:lineRule="exact"/>
              <w:jc w:val="left"/>
              <w:rPr>
                <w:rFonts w:ascii="Times New Roman" w:hAnsi="Times New Roman" w:eastAsia="仿宋_GB2312" w:cs="方正仿宋_GBK"/>
                <w:color w:val="auto"/>
                <w:szCs w:val="21"/>
              </w:rPr>
            </w:pPr>
          </w:p>
        </w:tc>
        <w:tc>
          <w:tcPr>
            <w:tcW w:w="1324" w:type="dxa"/>
            <w:vMerge w:val="continue"/>
            <w:vAlign w:val="center"/>
          </w:tcPr>
          <w:p w14:paraId="1D1DAB70">
            <w:pPr>
              <w:widowControl/>
              <w:autoSpaceDE w:val="0"/>
              <w:autoSpaceDN w:val="0"/>
              <w:spacing w:line="280" w:lineRule="exact"/>
              <w:jc w:val="left"/>
              <w:rPr>
                <w:rFonts w:ascii="Times New Roman" w:hAnsi="Times New Roman" w:eastAsia="仿宋_GB2312" w:cs="方正仿宋_GBK"/>
                <w:color w:val="auto"/>
                <w:szCs w:val="21"/>
              </w:rPr>
            </w:pPr>
          </w:p>
        </w:tc>
        <w:tc>
          <w:tcPr>
            <w:tcW w:w="794" w:type="dxa"/>
            <w:vMerge w:val="continue"/>
            <w:vAlign w:val="center"/>
          </w:tcPr>
          <w:p w14:paraId="02B0EC55">
            <w:pPr>
              <w:widowControl/>
              <w:autoSpaceDE w:val="0"/>
              <w:autoSpaceDN w:val="0"/>
              <w:spacing w:line="280" w:lineRule="exact"/>
              <w:jc w:val="left"/>
              <w:rPr>
                <w:rFonts w:ascii="Times New Roman" w:hAnsi="Times New Roman" w:eastAsia="仿宋_GB2312" w:cs="方正仿宋_GBK"/>
                <w:color w:val="auto"/>
                <w:szCs w:val="21"/>
              </w:rPr>
            </w:pPr>
          </w:p>
        </w:tc>
        <w:tc>
          <w:tcPr>
            <w:tcW w:w="872" w:type="dxa"/>
            <w:vMerge w:val="continue"/>
            <w:vAlign w:val="center"/>
          </w:tcPr>
          <w:p w14:paraId="31371BAF">
            <w:pPr>
              <w:widowControl/>
              <w:autoSpaceDE w:val="0"/>
              <w:autoSpaceDN w:val="0"/>
              <w:spacing w:line="280" w:lineRule="exact"/>
              <w:jc w:val="left"/>
              <w:rPr>
                <w:rFonts w:ascii="Times New Roman" w:hAnsi="Times New Roman" w:eastAsia="仿宋_GB2312" w:cs="方正仿宋_GBK"/>
                <w:color w:val="auto"/>
                <w:szCs w:val="21"/>
              </w:rPr>
            </w:pPr>
          </w:p>
        </w:tc>
        <w:tc>
          <w:tcPr>
            <w:tcW w:w="869" w:type="dxa"/>
            <w:vMerge w:val="continue"/>
            <w:vAlign w:val="center"/>
          </w:tcPr>
          <w:p w14:paraId="57723CD4">
            <w:pPr>
              <w:autoSpaceDE w:val="0"/>
              <w:autoSpaceDN w:val="0"/>
              <w:spacing w:line="280" w:lineRule="exact"/>
              <w:jc w:val="left"/>
              <w:rPr>
                <w:rFonts w:ascii="Times New Roman" w:hAnsi="Times New Roman" w:eastAsia="仿宋_GB2312" w:cs="方正仿宋_GBK"/>
                <w:color w:val="auto"/>
                <w:szCs w:val="21"/>
              </w:rPr>
            </w:pPr>
          </w:p>
        </w:tc>
        <w:tc>
          <w:tcPr>
            <w:tcW w:w="4962" w:type="dxa"/>
            <w:vAlign w:val="center"/>
          </w:tcPr>
          <w:p w14:paraId="63478E9F">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【规章】《建筑起重机械安全监督管理规定》</w:t>
            </w:r>
          </w:p>
          <w:p w14:paraId="6802786D">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第二十一条　施工总承包单位应当履行下列安全职责：</w:t>
            </w:r>
          </w:p>
          <w:p w14:paraId="1A7B4613">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（四）审核安装单位制定的建筑起重机械安装、拆卸工程专项施工方案和生产安全事故应急救援预案。</w:t>
            </w:r>
          </w:p>
          <w:p w14:paraId="2E0AACA3">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第三十一条　违反本规定，施工总承包单位未履行第二十一条第（一）、（三）、（四）、（五）、（七）项安全职责的，由县级以上地方人民政府建设主管部门责令限期改正，予以警告，并处以5000元以上3万元以下罚款。</w:t>
            </w:r>
          </w:p>
        </w:tc>
        <w:tc>
          <w:tcPr>
            <w:tcW w:w="992" w:type="dxa"/>
            <w:vMerge w:val="continue"/>
            <w:vAlign w:val="center"/>
          </w:tcPr>
          <w:p w14:paraId="1AAA67FD">
            <w:pPr>
              <w:autoSpaceDE w:val="0"/>
              <w:autoSpaceDN w:val="0"/>
              <w:spacing w:line="280" w:lineRule="exact"/>
              <w:jc w:val="left"/>
              <w:rPr>
                <w:rFonts w:ascii="Times New Roman" w:hAnsi="Times New Roman" w:eastAsia="仿宋_GB2312" w:cs="方正仿宋_GBK"/>
                <w:color w:val="auto"/>
                <w:szCs w:val="21"/>
              </w:rPr>
            </w:pPr>
          </w:p>
        </w:tc>
        <w:tc>
          <w:tcPr>
            <w:tcW w:w="1139" w:type="dxa"/>
            <w:vMerge w:val="continue"/>
            <w:vAlign w:val="center"/>
          </w:tcPr>
          <w:p w14:paraId="59A419B6">
            <w:pPr>
              <w:autoSpaceDE w:val="0"/>
              <w:autoSpaceDN w:val="0"/>
              <w:spacing w:line="280" w:lineRule="exact"/>
              <w:jc w:val="left"/>
              <w:rPr>
                <w:rFonts w:ascii="Times New Roman" w:hAnsi="Times New Roman" w:eastAsia="仿宋_GB2312" w:cs="方正仿宋_GBK"/>
                <w:color w:val="auto"/>
                <w:szCs w:val="21"/>
              </w:rPr>
            </w:pPr>
          </w:p>
        </w:tc>
        <w:tc>
          <w:tcPr>
            <w:tcW w:w="1491" w:type="dxa"/>
            <w:vAlign w:val="center"/>
          </w:tcPr>
          <w:p w14:paraId="3A853055">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320217571000</w:t>
            </w:r>
          </w:p>
        </w:tc>
        <w:tc>
          <w:tcPr>
            <w:tcW w:w="1481" w:type="dxa"/>
            <w:vAlign w:val="center"/>
          </w:tcPr>
          <w:p w14:paraId="42DFDF79">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对施工总承包单位未审核安装单位制定的建筑起重机械安装、拆卸工程专项施工方案和生产安全事故应急救援预案的处罚</w:t>
            </w:r>
          </w:p>
        </w:tc>
        <w:tc>
          <w:tcPr>
            <w:tcW w:w="622" w:type="dxa"/>
            <w:vAlign w:val="center"/>
          </w:tcPr>
          <w:p w14:paraId="50B583E9">
            <w:pPr>
              <w:widowControl/>
              <w:autoSpaceDE w:val="0"/>
              <w:autoSpaceDN w:val="0"/>
              <w:spacing w:line="280" w:lineRule="exact"/>
              <w:jc w:val="left"/>
              <w:rPr>
                <w:rFonts w:ascii="Times New Roman" w:hAnsi="Times New Roman" w:eastAsia="仿宋_GB2312" w:cs="方正仿宋_GBK"/>
                <w:color w:val="auto"/>
                <w:szCs w:val="21"/>
              </w:rPr>
            </w:pPr>
          </w:p>
        </w:tc>
      </w:tr>
      <w:tr w14:paraId="21807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1" w:hRule="atLeast"/>
          <w:jc w:val="center"/>
        </w:trPr>
        <w:tc>
          <w:tcPr>
            <w:tcW w:w="536" w:type="dxa"/>
            <w:vMerge w:val="continue"/>
            <w:vAlign w:val="center"/>
          </w:tcPr>
          <w:p w14:paraId="4633989C">
            <w:pPr>
              <w:widowControl/>
              <w:autoSpaceDE w:val="0"/>
              <w:autoSpaceDN w:val="0"/>
              <w:spacing w:line="280" w:lineRule="exact"/>
              <w:jc w:val="left"/>
              <w:rPr>
                <w:rFonts w:ascii="Times New Roman" w:hAnsi="Times New Roman" w:eastAsia="仿宋_GB2312" w:cs="方正仿宋_GBK"/>
                <w:color w:val="auto"/>
                <w:szCs w:val="21"/>
              </w:rPr>
            </w:pPr>
          </w:p>
        </w:tc>
        <w:tc>
          <w:tcPr>
            <w:tcW w:w="1324" w:type="dxa"/>
            <w:vMerge w:val="continue"/>
            <w:vAlign w:val="center"/>
          </w:tcPr>
          <w:p w14:paraId="6382C802">
            <w:pPr>
              <w:widowControl/>
              <w:autoSpaceDE w:val="0"/>
              <w:autoSpaceDN w:val="0"/>
              <w:spacing w:line="280" w:lineRule="exact"/>
              <w:jc w:val="left"/>
              <w:rPr>
                <w:rFonts w:ascii="Times New Roman" w:hAnsi="Times New Roman" w:eastAsia="仿宋_GB2312" w:cs="方正仿宋_GBK"/>
                <w:color w:val="auto"/>
                <w:szCs w:val="21"/>
              </w:rPr>
            </w:pPr>
          </w:p>
        </w:tc>
        <w:tc>
          <w:tcPr>
            <w:tcW w:w="794" w:type="dxa"/>
            <w:vMerge w:val="continue"/>
            <w:vAlign w:val="center"/>
          </w:tcPr>
          <w:p w14:paraId="67D044F9">
            <w:pPr>
              <w:widowControl/>
              <w:autoSpaceDE w:val="0"/>
              <w:autoSpaceDN w:val="0"/>
              <w:spacing w:line="280" w:lineRule="exact"/>
              <w:jc w:val="left"/>
              <w:rPr>
                <w:rFonts w:ascii="Times New Roman" w:hAnsi="Times New Roman" w:eastAsia="仿宋_GB2312" w:cs="方正仿宋_GBK"/>
                <w:color w:val="auto"/>
                <w:szCs w:val="21"/>
              </w:rPr>
            </w:pPr>
          </w:p>
        </w:tc>
        <w:tc>
          <w:tcPr>
            <w:tcW w:w="872" w:type="dxa"/>
            <w:vMerge w:val="continue"/>
            <w:vAlign w:val="center"/>
          </w:tcPr>
          <w:p w14:paraId="7A28D0BA">
            <w:pPr>
              <w:widowControl/>
              <w:autoSpaceDE w:val="0"/>
              <w:autoSpaceDN w:val="0"/>
              <w:spacing w:line="280" w:lineRule="exact"/>
              <w:jc w:val="left"/>
              <w:rPr>
                <w:rFonts w:ascii="Times New Roman" w:hAnsi="Times New Roman" w:eastAsia="仿宋_GB2312" w:cs="方正仿宋_GBK"/>
                <w:color w:val="auto"/>
                <w:szCs w:val="21"/>
              </w:rPr>
            </w:pPr>
          </w:p>
        </w:tc>
        <w:tc>
          <w:tcPr>
            <w:tcW w:w="869" w:type="dxa"/>
            <w:vMerge w:val="continue"/>
            <w:vAlign w:val="center"/>
          </w:tcPr>
          <w:p w14:paraId="7088901E">
            <w:pPr>
              <w:widowControl/>
              <w:autoSpaceDE w:val="0"/>
              <w:autoSpaceDN w:val="0"/>
              <w:spacing w:line="280" w:lineRule="exact"/>
              <w:jc w:val="left"/>
              <w:rPr>
                <w:rFonts w:ascii="Times New Roman" w:hAnsi="Times New Roman" w:eastAsia="仿宋_GB2312" w:cs="方正仿宋_GBK"/>
                <w:color w:val="auto"/>
                <w:szCs w:val="21"/>
              </w:rPr>
            </w:pPr>
          </w:p>
        </w:tc>
        <w:tc>
          <w:tcPr>
            <w:tcW w:w="4962" w:type="dxa"/>
            <w:vAlign w:val="center"/>
          </w:tcPr>
          <w:p w14:paraId="42254EFB">
            <w:pPr>
              <w:widowControl/>
              <w:autoSpaceDE w:val="0"/>
              <w:autoSpaceDN w:val="0"/>
              <w:spacing w:line="26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【规章】《建筑起重机械安全监督管理规定》</w:t>
            </w:r>
          </w:p>
          <w:p w14:paraId="76B93CDB">
            <w:pPr>
              <w:widowControl/>
              <w:autoSpaceDE w:val="0"/>
              <w:autoSpaceDN w:val="0"/>
              <w:spacing w:line="26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第二十一条　施工总承包单位应当履行下列安全职责：</w:t>
            </w:r>
          </w:p>
          <w:p w14:paraId="62745315">
            <w:pPr>
              <w:widowControl/>
              <w:autoSpaceDE w:val="0"/>
              <w:autoSpaceDN w:val="0"/>
              <w:spacing w:line="26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（三）审核安装单位、使用单位的资质证书、安全生产许可证和特种作业人员的特种作业操作资格证书。</w:t>
            </w:r>
          </w:p>
          <w:p w14:paraId="2A213DBB">
            <w:pPr>
              <w:widowControl/>
              <w:autoSpaceDE w:val="0"/>
              <w:autoSpaceDN w:val="0"/>
              <w:spacing w:line="26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第三十一条　违反本规定，施工总承包单位未履行第二十一条第（一）、（三）、（四）、（五）、（七）项安全职责的，由县级以上地方人民政府建设主管部门责令限期改正，予以警告，并处以5000元以上3万元以下罚款。</w:t>
            </w:r>
          </w:p>
        </w:tc>
        <w:tc>
          <w:tcPr>
            <w:tcW w:w="992" w:type="dxa"/>
            <w:vMerge w:val="continue"/>
            <w:vAlign w:val="center"/>
          </w:tcPr>
          <w:p w14:paraId="779E2DC4">
            <w:pPr>
              <w:widowControl/>
              <w:autoSpaceDE w:val="0"/>
              <w:autoSpaceDN w:val="0"/>
              <w:spacing w:line="280" w:lineRule="exact"/>
              <w:jc w:val="left"/>
              <w:rPr>
                <w:rFonts w:ascii="Times New Roman" w:hAnsi="Times New Roman" w:eastAsia="仿宋_GB2312" w:cs="方正仿宋_GBK"/>
                <w:color w:val="auto"/>
                <w:szCs w:val="21"/>
              </w:rPr>
            </w:pPr>
          </w:p>
        </w:tc>
        <w:tc>
          <w:tcPr>
            <w:tcW w:w="1139" w:type="dxa"/>
            <w:vMerge w:val="continue"/>
            <w:vAlign w:val="center"/>
          </w:tcPr>
          <w:p w14:paraId="548C9346">
            <w:pPr>
              <w:widowControl/>
              <w:autoSpaceDE w:val="0"/>
              <w:autoSpaceDN w:val="0"/>
              <w:spacing w:line="280" w:lineRule="exact"/>
              <w:jc w:val="left"/>
              <w:rPr>
                <w:rFonts w:ascii="Times New Roman" w:hAnsi="Times New Roman" w:eastAsia="仿宋_GB2312" w:cs="方正仿宋_GBK"/>
                <w:color w:val="auto"/>
                <w:szCs w:val="21"/>
              </w:rPr>
            </w:pPr>
          </w:p>
        </w:tc>
        <w:tc>
          <w:tcPr>
            <w:tcW w:w="1491" w:type="dxa"/>
            <w:vAlign w:val="center"/>
          </w:tcPr>
          <w:p w14:paraId="2A4F7292">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320217570000</w:t>
            </w:r>
          </w:p>
        </w:tc>
        <w:tc>
          <w:tcPr>
            <w:tcW w:w="1481" w:type="dxa"/>
            <w:vAlign w:val="center"/>
          </w:tcPr>
          <w:p w14:paraId="2CC1595B">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对施工总承包单位未审核安装单位、使用单位的资质证书、安全生产许可证和特种作业人员的特种作业操作资格证书的处罚</w:t>
            </w:r>
          </w:p>
        </w:tc>
        <w:tc>
          <w:tcPr>
            <w:tcW w:w="622" w:type="dxa"/>
            <w:vAlign w:val="center"/>
          </w:tcPr>
          <w:p w14:paraId="3ED176EC">
            <w:pPr>
              <w:widowControl/>
              <w:autoSpaceDE w:val="0"/>
              <w:autoSpaceDN w:val="0"/>
              <w:spacing w:line="280" w:lineRule="exact"/>
              <w:jc w:val="left"/>
              <w:rPr>
                <w:rFonts w:ascii="Times New Roman" w:hAnsi="Times New Roman" w:eastAsia="仿宋_GB2312" w:cs="方正仿宋_GBK"/>
                <w:color w:val="auto"/>
                <w:szCs w:val="21"/>
              </w:rPr>
            </w:pPr>
          </w:p>
        </w:tc>
      </w:tr>
      <w:tr w14:paraId="039D9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8" w:hRule="atLeast"/>
          <w:jc w:val="center"/>
        </w:trPr>
        <w:tc>
          <w:tcPr>
            <w:tcW w:w="536" w:type="dxa"/>
            <w:vMerge w:val="restart"/>
            <w:vAlign w:val="center"/>
          </w:tcPr>
          <w:p w14:paraId="72718B1C">
            <w:pPr>
              <w:autoSpaceDE w:val="0"/>
              <w:autoSpaceDN w:val="0"/>
              <w:spacing w:line="280" w:lineRule="exact"/>
              <w:jc w:val="center"/>
              <w:rPr>
                <w:rFonts w:hint="default" w:ascii="Times New Roman" w:hAnsi="Times New Roman" w:eastAsia="仿宋_GB2312" w:cs="方正仿宋_GBK"/>
                <w:color w:val="auto"/>
                <w:szCs w:val="21"/>
                <w:lang w:val="en-US" w:eastAsia="zh-CN"/>
              </w:rPr>
            </w:pPr>
            <w:r>
              <w:rPr>
                <w:rFonts w:hint="eastAsia" w:ascii="Times New Roman" w:hAnsi="Times New Roman" w:eastAsia="仿宋_GB2312" w:cs="方正仿宋_GBK"/>
                <w:color w:val="auto"/>
                <w:szCs w:val="21"/>
                <w:lang w:val="en-US" w:eastAsia="zh-CN"/>
              </w:rPr>
              <w:t>15</w:t>
            </w:r>
          </w:p>
        </w:tc>
        <w:tc>
          <w:tcPr>
            <w:tcW w:w="1324" w:type="dxa"/>
            <w:vMerge w:val="restart"/>
            <w:vAlign w:val="center"/>
          </w:tcPr>
          <w:p w14:paraId="2573F0DE">
            <w:pPr>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对房屋市政工程质量、安全及文明施工情况的行政检查</w:t>
            </w:r>
          </w:p>
        </w:tc>
        <w:tc>
          <w:tcPr>
            <w:tcW w:w="794" w:type="dxa"/>
            <w:vMerge w:val="restart"/>
            <w:vAlign w:val="center"/>
          </w:tcPr>
          <w:p w14:paraId="6C1E0857">
            <w:pPr>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苏州市相城区住房和城乡建设局</w:t>
            </w:r>
          </w:p>
        </w:tc>
        <w:tc>
          <w:tcPr>
            <w:tcW w:w="872" w:type="dxa"/>
            <w:vMerge w:val="restart"/>
            <w:vAlign w:val="center"/>
          </w:tcPr>
          <w:p w14:paraId="149C568C">
            <w:pPr>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相城区建设工程质量安全监督中心</w:t>
            </w:r>
          </w:p>
        </w:tc>
        <w:tc>
          <w:tcPr>
            <w:tcW w:w="869" w:type="dxa"/>
            <w:vAlign w:val="center"/>
          </w:tcPr>
          <w:p w14:paraId="11B7FB2F">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施工总承包单位</w:t>
            </w:r>
          </w:p>
        </w:tc>
        <w:tc>
          <w:tcPr>
            <w:tcW w:w="4962" w:type="dxa"/>
            <w:vAlign w:val="center"/>
          </w:tcPr>
          <w:p w14:paraId="2758A14A">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【规章】《建筑起重机械安全监督管理规定》</w:t>
            </w:r>
          </w:p>
          <w:p w14:paraId="2421F59E">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第二十一条　施工总承包单位应当履行下列安全职责：</w:t>
            </w:r>
          </w:p>
          <w:p w14:paraId="007D5204">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（一）向安装单位提供拟安装设备位置的基础施工资料，确保建筑起重机械进场安装、拆卸所需的施工条件。</w:t>
            </w:r>
          </w:p>
          <w:p w14:paraId="42DB22D8">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第三十一条　违反本规定，施工总承包单位未履行第二十一条第（一）、（三）、（四）、（五）、（七）项安全职责的，由县级以上地方人民政府建设主管部门责令限期改正，予以警告，并处以5000元以上3万元以下罚款。</w:t>
            </w:r>
          </w:p>
        </w:tc>
        <w:tc>
          <w:tcPr>
            <w:tcW w:w="992" w:type="dxa"/>
            <w:vMerge w:val="restart"/>
            <w:vAlign w:val="center"/>
          </w:tcPr>
          <w:p w14:paraId="354F82E6">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现场检查、书面检查</w:t>
            </w:r>
          </w:p>
        </w:tc>
        <w:tc>
          <w:tcPr>
            <w:tcW w:w="1139" w:type="dxa"/>
            <w:vMerge w:val="restart"/>
            <w:vAlign w:val="center"/>
          </w:tcPr>
          <w:p w14:paraId="44013A3F">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双随机+重点检查</w:t>
            </w:r>
          </w:p>
        </w:tc>
        <w:tc>
          <w:tcPr>
            <w:tcW w:w="1491" w:type="dxa"/>
            <w:vAlign w:val="center"/>
          </w:tcPr>
          <w:p w14:paraId="74B9D266">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320217561000</w:t>
            </w:r>
          </w:p>
        </w:tc>
        <w:tc>
          <w:tcPr>
            <w:tcW w:w="1481" w:type="dxa"/>
            <w:vAlign w:val="center"/>
          </w:tcPr>
          <w:p w14:paraId="1091740C">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对施工总承包单位未向安装单位提供拟安装设备位置的基础施工资料，确保建筑起重机械进场安装、拆卸所需的施工条件的处罚</w:t>
            </w:r>
          </w:p>
        </w:tc>
        <w:tc>
          <w:tcPr>
            <w:tcW w:w="622" w:type="dxa"/>
            <w:vAlign w:val="center"/>
          </w:tcPr>
          <w:p w14:paraId="6690B7F2">
            <w:pPr>
              <w:widowControl/>
              <w:autoSpaceDE w:val="0"/>
              <w:autoSpaceDN w:val="0"/>
              <w:spacing w:line="280" w:lineRule="exact"/>
              <w:jc w:val="left"/>
              <w:rPr>
                <w:rFonts w:ascii="Times New Roman" w:hAnsi="Times New Roman" w:eastAsia="仿宋_GB2312" w:cs="方正仿宋_GBK"/>
                <w:color w:val="auto"/>
                <w:szCs w:val="21"/>
              </w:rPr>
            </w:pPr>
          </w:p>
        </w:tc>
      </w:tr>
      <w:tr w14:paraId="4DCB3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7" w:hRule="atLeast"/>
          <w:jc w:val="center"/>
        </w:trPr>
        <w:tc>
          <w:tcPr>
            <w:tcW w:w="536" w:type="dxa"/>
            <w:vMerge w:val="continue"/>
            <w:vAlign w:val="center"/>
          </w:tcPr>
          <w:p w14:paraId="013CDFBD">
            <w:pPr>
              <w:widowControl/>
              <w:autoSpaceDE w:val="0"/>
              <w:autoSpaceDN w:val="0"/>
              <w:spacing w:line="280" w:lineRule="exact"/>
              <w:jc w:val="left"/>
              <w:rPr>
                <w:rFonts w:ascii="Times New Roman" w:hAnsi="Times New Roman" w:eastAsia="仿宋_GB2312" w:cs="方正仿宋_GBK"/>
                <w:color w:val="auto"/>
                <w:szCs w:val="21"/>
              </w:rPr>
            </w:pPr>
          </w:p>
        </w:tc>
        <w:tc>
          <w:tcPr>
            <w:tcW w:w="1324" w:type="dxa"/>
            <w:vMerge w:val="continue"/>
            <w:vAlign w:val="center"/>
          </w:tcPr>
          <w:p w14:paraId="1B6B784B">
            <w:pPr>
              <w:widowControl/>
              <w:autoSpaceDE w:val="0"/>
              <w:autoSpaceDN w:val="0"/>
              <w:spacing w:line="280" w:lineRule="exact"/>
              <w:jc w:val="left"/>
              <w:rPr>
                <w:rFonts w:ascii="Times New Roman" w:hAnsi="Times New Roman" w:eastAsia="仿宋_GB2312" w:cs="方正仿宋_GBK"/>
                <w:color w:val="auto"/>
                <w:szCs w:val="21"/>
              </w:rPr>
            </w:pPr>
          </w:p>
        </w:tc>
        <w:tc>
          <w:tcPr>
            <w:tcW w:w="794" w:type="dxa"/>
            <w:vMerge w:val="continue"/>
            <w:vAlign w:val="center"/>
          </w:tcPr>
          <w:p w14:paraId="38A7F0E6">
            <w:pPr>
              <w:widowControl/>
              <w:autoSpaceDE w:val="0"/>
              <w:autoSpaceDN w:val="0"/>
              <w:spacing w:line="280" w:lineRule="exact"/>
              <w:jc w:val="left"/>
              <w:rPr>
                <w:rFonts w:ascii="Times New Roman" w:hAnsi="Times New Roman" w:eastAsia="仿宋_GB2312" w:cs="方正仿宋_GBK"/>
                <w:color w:val="auto"/>
                <w:szCs w:val="21"/>
              </w:rPr>
            </w:pPr>
          </w:p>
        </w:tc>
        <w:tc>
          <w:tcPr>
            <w:tcW w:w="872" w:type="dxa"/>
            <w:vMerge w:val="continue"/>
            <w:vAlign w:val="center"/>
          </w:tcPr>
          <w:p w14:paraId="7C5B204C">
            <w:pPr>
              <w:widowControl/>
              <w:autoSpaceDE w:val="0"/>
              <w:autoSpaceDN w:val="0"/>
              <w:spacing w:line="280" w:lineRule="exact"/>
              <w:jc w:val="left"/>
              <w:rPr>
                <w:rFonts w:ascii="Times New Roman" w:hAnsi="Times New Roman" w:eastAsia="仿宋_GB2312" w:cs="方正仿宋_GBK"/>
                <w:color w:val="auto"/>
                <w:szCs w:val="21"/>
              </w:rPr>
            </w:pPr>
          </w:p>
        </w:tc>
        <w:tc>
          <w:tcPr>
            <w:tcW w:w="869" w:type="dxa"/>
            <w:vAlign w:val="center"/>
          </w:tcPr>
          <w:p w14:paraId="1455A211">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监理单位</w:t>
            </w:r>
          </w:p>
        </w:tc>
        <w:tc>
          <w:tcPr>
            <w:tcW w:w="4962" w:type="dxa"/>
            <w:vAlign w:val="center"/>
          </w:tcPr>
          <w:p w14:paraId="118D2C70">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【规章】《江苏省房屋建筑和市政基础设施工程质量监督管理办法》</w:t>
            </w:r>
          </w:p>
          <w:p w14:paraId="5E66D0B8">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第二十条  监理单位应当履行下列工程质量义务：</w:t>
            </w:r>
          </w:p>
          <w:p w14:paraId="3BEDD20E">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（六）按照规定签署工程质量验收意见，不得降低验收标准、出具虚假验收意见。</w:t>
            </w:r>
          </w:p>
          <w:p w14:paraId="68E8830F">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第二十六条  违反本办法第二十条规定，监理单位有下列行为之一的，由住房和城乡建设行政主管部门责令改正，并可处1万元以上3万元以下罚款：</w:t>
            </w:r>
          </w:p>
          <w:p w14:paraId="509174E8">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（三）未按照规定签署工程质量验收意见，或者出具虚假验收意见的。</w:t>
            </w:r>
          </w:p>
        </w:tc>
        <w:tc>
          <w:tcPr>
            <w:tcW w:w="992" w:type="dxa"/>
            <w:vMerge w:val="continue"/>
            <w:vAlign w:val="center"/>
          </w:tcPr>
          <w:p w14:paraId="1C827353">
            <w:pPr>
              <w:autoSpaceDE w:val="0"/>
              <w:autoSpaceDN w:val="0"/>
              <w:spacing w:line="280" w:lineRule="exact"/>
              <w:jc w:val="left"/>
              <w:rPr>
                <w:rFonts w:ascii="Times New Roman" w:hAnsi="Times New Roman" w:eastAsia="仿宋_GB2312" w:cs="方正仿宋_GBK"/>
                <w:color w:val="auto"/>
                <w:szCs w:val="21"/>
              </w:rPr>
            </w:pPr>
          </w:p>
        </w:tc>
        <w:tc>
          <w:tcPr>
            <w:tcW w:w="1139" w:type="dxa"/>
            <w:vMerge w:val="continue"/>
            <w:vAlign w:val="center"/>
          </w:tcPr>
          <w:p w14:paraId="79DAA283">
            <w:pPr>
              <w:autoSpaceDE w:val="0"/>
              <w:autoSpaceDN w:val="0"/>
              <w:spacing w:line="280" w:lineRule="exact"/>
              <w:jc w:val="left"/>
              <w:rPr>
                <w:rFonts w:ascii="Times New Roman" w:hAnsi="Times New Roman" w:eastAsia="仿宋_GB2312" w:cs="方正仿宋_GBK"/>
                <w:color w:val="auto"/>
                <w:szCs w:val="21"/>
              </w:rPr>
            </w:pPr>
          </w:p>
        </w:tc>
        <w:tc>
          <w:tcPr>
            <w:tcW w:w="1491" w:type="dxa"/>
            <w:vAlign w:val="center"/>
          </w:tcPr>
          <w:p w14:paraId="2EDF9428">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320217554000</w:t>
            </w:r>
          </w:p>
        </w:tc>
        <w:tc>
          <w:tcPr>
            <w:tcW w:w="1481" w:type="dxa"/>
            <w:vAlign w:val="center"/>
          </w:tcPr>
          <w:p w14:paraId="18D4DDDC">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对监理单位未按照规定签署工程质量验收意见，或者出具虚假验收意见的处罚</w:t>
            </w:r>
          </w:p>
        </w:tc>
        <w:tc>
          <w:tcPr>
            <w:tcW w:w="622" w:type="dxa"/>
            <w:vAlign w:val="center"/>
          </w:tcPr>
          <w:p w14:paraId="1A007235">
            <w:pPr>
              <w:widowControl/>
              <w:autoSpaceDE w:val="0"/>
              <w:autoSpaceDN w:val="0"/>
              <w:spacing w:line="280" w:lineRule="exact"/>
              <w:jc w:val="left"/>
              <w:rPr>
                <w:rFonts w:ascii="Times New Roman" w:hAnsi="Times New Roman" w:eastAsia="仿宋_GB2312" w:cs="方正仿宋_GBK"/>
                <w:color w:val="auto"/>
                <w:szCs w:val="21"/>
              </w:rPr>
            </w:pPr>
          </w:p>
        </w:tc>
      </w:tr>
      <w:tr w14:paraId="475CA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6" w:type="dxa"/>
            <w:vMerge w:val="restart"/>
            <w:vAlign w:val="center"/>
          </w:tcPr>
          <w:p w14:paraId="4D7AC52B">
            <w:pPr>
              <w:autoSpaceDE w:val="0"/>
              <w:autoSpaceDN w:val="0"/>
              <w:spacing w:line="280" w:lineRule="exact"/>
              <w:jc w:val="center"/>
              <w:rPr>
                <w:rFonts w:hint="default" w:ascii="Times New Roman" w:hAnsi="Times New Roman" w:eastAsia="仿宋_GB2312" w:cs="方正仿宋_GBK"/>
                <w:color w:val="auto"/>
                <w:szCs w:val="21"/>
                <w:lang w:val="en-US" w:eastAsia="zh-CN"/>
              </w:rPr>
            </w:pPr>
            <w:r>
              <w:rPr>
                <w:rFonts w:hint="eastAsia" w:ascii="Times New Roman" w:hAnsi="Times New Roman" w:eastAsia="仿宋_GB2312" w:cs="方正仿宋_GBK"/>
                <w:color w:val="auto"/>
                <w:szCs w:val="21"/>
                <w:lang w:val="en-US" w:eastAsia="zh-CN"/>
              </w:rPr>
              <w:t>15</w:t>
            </w:r>
          </w:p>
        </w:tc>
        <w:tc>
          <w:tcPr>
            <w:tcW w:w="1324" w:type="dxa"/>
            <w:vMerge w:val="restart"/>
            <w:vAlign w:val="center"/>
          </w:tcPr>
          <w:p w14:paraId="5E6D5B15">
            <w:pPr>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对房屋市政工程质量、安全及文明施工情况的行政检查</w:t>
            </w:r>
          </w:p>
        </w:tc>
        <w:tc>
          <w:tcPr>
            <w:tcW w:w="794" w:type="dxa"/>
            <w:vMerge w:val="restart"/>
            <w:vAlign w:val="center"/>
          </w:tcPr>
          <w:p w14:paraId="7091A15D">
            <w:pPr>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苏州市相城区住房和城乡建设局</w:t>
            </w:r>
          </w:p>
        </w:tc>
        <w:tc>
          <w:tcPr>
            <w:tcW w:w="872" w:type="dxa"/>
            <w:vMerge w:val="restart"/>
            <w:vAlign w:val="center"/>
          </w:tcPr>
          <w:p w14:paraId="439F349E">
            <w:pPr>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相城区建设工程质量安全监督中心</w:t>
            </w:r>
          </w:p>
        </w:tc>
        <w:tc>
          <w:tcPr>
            <w:tcW w:w="869" w:type="dxa"/>
            <w:vAlign w:val="center"/>
          </w:tcPr>
          <w:p w14:paraId="36EA83B1">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施工总承包单位</w:t>
            </w:r>
          </w:p>
        </w:tc>
        <w:tc>
          <w:tcPr>
            <w:tcW w:w="4962" w:type="dxa"/>
            <w:vAlign w:val="center"/>
          </w:tcPr>
          <w:p w14:paraId="2A2022CB">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【规章】《建筑起重机械安全监督管理规定》</w:t>
            </w:r>
          </w:p>
          <w:p w14:paraId="5B52F9F6">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第二十一条　施工总承包单位应当履行下列安全职责：</w:t>
            </w:r>
          </w:p>
          <w:p w14:paraId="00C47460">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（七）施工现场有多台塔式起重机作业时，应当组织制定并实施防止塔式起重机相互碰撞的安全措施。</w:t>
            </w:r>
          </w:p>
          <w:p w14:paraId="12EAACF8">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第三十一条　违反本规定，施工总承包单位未履行第二十一条第（一）、（三）、（四）、（五）、（七）项安全职责的，由县级以上地方人民政府建设主管部门责令限期改正，予以警告，并处以5000元以上3万元以下罚款。</w:t>
            </w:r>
          </w:p>
        </w:tc>
        <w:tc>
          <w:tcPr>
            <w:tcW w:w="992" w:type="dxa"/>
            <w:vMerge w:val="restart"/>
            <w:vAlign w:val="center"/>
          </w:tcPr>
          <w:p w14:paraId="669377EB">
            <w:pPr>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现场检查、书面检查</w:t>
            </w:r>
          </w:p>
        </w:tc>
        <w:tc>
          <w:tcPr>
            <w:tcW w:w="1139" w:type="dxa"/>
            <w:vMerge w:val="restart"/>
            <w:vAlign w:val="center"/>
          </w:tcPr>
          <w:p w14:paraId="6CC8157C">
            <w:pPr>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双随机+重点检查</w:t>
            </w:r>
          </w:p>
        </w:tc>
        <w:tc>
          <w:tcPr>
            <w:tcW w:w="1491" w:type="dxa"/>
            <w:vAlign w:val="center"/>
          </w:tcPr>
          <w:p w14:paraId="6BAD97C8">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320217535000</w:t>
            </w:r>
          </w:p>
        </w:tc>
        <w:tc>
          <w:tcPr>
            <w:tcW w:w="1481" w:type="dxa"/>
            <w:vAlign w:val="center"/>
          </w:tcPr>
          <w:p w14:paraId="1631ADCF">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对施工总承包单位未在施工现场有多台塔式起重机作业时，组织制定并实施防止塔式起重机相互碰撞的安全措施的处罚</w:t>
            </w:r>
          </w:p>
        </w:tc>
        <w:tc>
          <w:tcPr>
            <w:tcW w:w="622" w:type="dxa"/>
            <w:vAlign w:val="center"/>
          </w:tcPr>
          <w:p w14:paraId="49CBC4F0">
            <w:pPr>
              <w:widowControl/>
              <w:autoSpaceDE w:val="0"/>
              <w:autoSpaceDN w:val="0"/>
              <w:spacing w:line="280" w:lineRule="exact"/>
              <w:jc w:val="left"/>
              <w:rPr>
                <w:rFonts w:ascii="Times New Roman" w:hAnsi="Times New Roman" w:eastAsia="仿宋_GB2312" w:cs="方正仿宋_GBK"/>
                <w:color w:val="auto"/>
                <w:szCs w:val="21"/>
              </w:rPr>
            </w:pPr>
          </w:p>
        </w:tc>
      </w:tr>
      <w:tr w14:paraId="08DEFA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6" w:type="dxa"/>
            <w:vMerge w:val="continue"/>
            <w:vAlign w:val="center"/>
          </w:tcPr>
          <w:p w14:paraId="5E6224AA">
            <w:pPr>
              <w:widowControl/>
              <w:autoSpaceDE w:val="0"/>
              <w:autoSpaceDN w:val="0"/>
              <w:spacing w:line="280" w:lineRule="exact"/>
              <w:jc w:val="left"/>
              <w:rPr>
                <w:rFonts w:ascii="Times New Roman" w:hAnsi="Times New Roman" w:eastAsia="仿宋_GB2312" w:cs="方正仿宋_GBK"/>
                <w:color w:val="auto"/>
                <w:szCs w:val="21"/>
              </w:rPr>
            </w:pPr>
          </w:p>
        </w:tc>
        <w:tc>
          <w:tcPr>
            <w:tcW w:w="1324" w:type="dxa"/>
            <w:vMerge w:val="continue"/>
            <w:vAlign w:val="center"/>
          </w:tcPr>
          <w:p w14:paraId="0B03B9CC">
            <w:pPr>
              <w:widowControl/>
              <w:autoSpaceDE w:val="0"/>
              <w:autoSpaceDN w:val="0"/>
              <w:spacing w:line="280" w:lineRule="exact"/>
              <w:jc w:val="left"/>
              <w:rPr>
                <w:rFonts w:ascii="Times New Roman" w:hAnsi="Times New Roman" w:eastAsia="仿宋_GB2312" w:cs="方正仿宋_GBK"/>
                <w:color w:val="auto"/>
                <w:szCs w:val="21"/>
              </w:rPr>
            </w:pPr>
          </w:p>
        </w:tc>
        <w:tc>
          <w:tcPr>
            <w:tcW w:w="794" w:type="dxa"/>
            <w:vMerge w:val="continue"/>
            <w:vAlign w:val="center"/>
          </w:tcPr>
          <w:p w14:paraId="4D64B927">
            <w:pPr>
              <w:widowControl/>
              <w:autoSpaceDE w:val="0"/>
              <w:autoSpaceDN w:val="0"/>
              <w:spacing w:line="280" w:lineRule="exact"/>
              <w:jc w:val="left"/>
              <w:rPr>
                <w:rFonts w:ascii="Times New Roman" w:hAnsi="Times New Roman" w:eastAsia="仿宋_GB2312" w:cs="方正仿宋_GBK"/>
                <w:color w:val="auto"/>
                <w:szCs w:val="21"/>
              </w:rPr>
            </w:pPr>
          </w:p>
        </w:tc>
        <w:tc>
          <w:tcPr>
            <w:tcW w:w="872" w:type="dxa"/>
            <w:vMerge w:val="continue"/>
            <w:vAlign w:val="center"/>
          </w:tcPr>
          <w:p w14:paraId="56F0A0FE">
            <w:pPr>
              <w:widowControl/>
              <w:autoSpaceDE w:val="0"/>
              <w:autoSpaceDN w:val="0"/>
              <w:spacing w:line="280" w:lineRule="exact"/>
              <w:jc w:val="left"/>
              <w:rPr>
                <w:rFonts w:ascii="Times New Roman" w:hAnsi="Times New Roman" w:eastAsia="仿宋_GB2312" w:cs="方正仿宋_GBK"/>
                <w:color w:val="auto"/>
                <w:szCs w:val="21"/>
              </w:rPr>
            </w:pPr>
          </w:p>
        </w:tc>
        <w:tc>
          <w:tcPr>
            <w:tcW w:w="869" w:type="dxa"/>
            <w:vAlign w:val="center"/>
          </w:tcPr>
          <w:p w14:paraId="07117B01">
            <w:pPr>
              <w:widowControl/>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施工</w:t>
            </w:r>
          </w:p>
          <w:p w14:paraId="37C343C4">
            <w:pPr>
              <w:widowControl/>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单位</w:t>
            </w:r>
          </w:p>
        </w:tc>
        <w:tc>
          <w:tcPr>
            <w:tcW w:w="4962" w:type="dxa"/>
            <w:vAlign w:val="center"/>
          </w:tcPr>
          <w:p w14:paraId="6CE0857B">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【行政法规】《建设工程质量管理条例》</w:t>
            </w:r>
          </w:p>
          <w:p w14:paraId="5C8B8BE3">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第二十八条第一款  施工单位必须按照工程设计图纸和施工技术标准施工，不得擅自修改工程设计，不得偷工减料。</w:t>
            </w:r>
          </w:p>
          <w:p w14:paraId="1E57C6E8">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第二十九条　施工单位必须按照工程设计要求、施工技术标准和合同约定，对建筑材料、建筑构配件、设备和商品混凝土进行检验，检验应当有书面记录和专人签字；未经检验或者检验不合格的，不得使用。</w:t>
            </w:r>
          </w:p>
          <w:p w14:paraId="6AC6D059">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第六十四条  违反本条例规定，施工单位在施工中偷工减料的，使用不合格的建筑材料、建筑构配件和设备的，或者有不按照工程设计图纸或者施工技术标准施工的其他行为的，责令改正，处工程合同价款2％以上4％以下的罚款；造成建设工程质量不符合规定的质量标准的，负责返工、修理，并赔偿因此造成的损失；情节严重的，责令停业整顿，降低资质等级或者吊销资质证书。</w:t>
            </w:r>
          </w:p>
        </w:tc>
        <w:tc>
          <w:tcPr>
            <w:tcW w:w="992" w:type="dxa"/>
            <w:vMerge w:val="continue"/>
            <w:vAlign w:val="center"/>
          </w:tcPr>
          <w:p w14:paraId="30A7472B">
            <w:pPr>
              <w:widowControl/>
              <w:autoSpaceDE w:val="0"/>
              <w:autoSpaceDN w:val="0"/>
              <w:spacing w:line="280" w:lineRule="exact"/>
              <w:jc w:val="left"/>
              <w:rPr>
                <w:rFonts w:ascii="Times New Roman" w:hAnsi="Times New Roman" w:eastAsia="仿宋_GB2312" w:cs="方正仿宋_GBK"/>
                <w:color w:val="auto"/>
                <w:szCs w:val="21"/>
              </w:rPr>
            </w:pPr>
          </w:p>
        </w:tc>
        <w:tc>
          <w:tcPr>
            <w:tcW w:w="1139" w:type="dxa"/>
            <w:vMerge w:val="continue"/>
            <w:vAlign w:val="center"/>
          </w:tcPr>
          <w:p w14:paraId="54AE5954">
            <w:pPr>
              <w:widowControl/>
              <w:autoSpaceDE w:val="0"/>
              <w:autoSpaceDN w:val="0"/>
              <w:spacing w:line="280" w:lineRule="exact"/>
              <w:jc w:val="left"/>
              <w:rPr>
                <w:rFonts w:ascii="Times New Roman" w:hAnsi="Times New Roman" w:eastAsia="仿宋_GB2312" w:cs="方正仿宋_GBK"/>
                <w:color w:val="auto"/>
                <w:szCs w:val="21"/>
              </w:rPr>
            </w:pPr>
          </w:p>
        </w:tc>
        <w:tc>
          <w:tcPr>
            <w:tcW w:w="1491" w:type="dxa"/>
            <w:vAlign w:val="center"/>
          </w:tcPr>
          <w:p w14:paraId="36D42A0F">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320217284000</w:t>
            </w:r>
          </w:p>
        </w:tc>
        <w:tc>
          <w:tcPr>
            <w:tcW w:w="1481" w:type="dxa"/>
            <w:vAlign w:val="center"/>
          </w:tcPr>
          <w:p w14:paraId="2FF782C0">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对施工单位在施工中偷工减料，使用不合格的建筑材料、建筑构配件和设备，或者有不按照工程设计图纸或者施工技术标准施工的其他行为的处罚</w:t>
            </w:r>
          </w:p>
        </w:tc>
        <w:tc>
          <w:tcPr>
            <w:tcW w:w="622" w:type="dxa"/>
            <w:vAlign w:val="center"/>
          </w:tcPr>
          <w:p w14:paraId="2E85DD8F">
            <w:pPr>
              <w:widowControl/>
              <w:autoSpaceDE w:val="0"/>
              <w:autoSpaceDN w:val="0"/>
              <w:spacing w:line="280" w:lineRule="exact"/>
              <w:jc w:val="left"/>
              <w:rPr>
                <w:rFonts w:ascii="Times New Roman" w:hAnsi="Times New Roman" w:eastAsia="仿宋_GB2312" w:cs="方正仿宋_GBK"/>
                <w:color w:val="auto"/>
                <w:szCs w:val="21"/>
              </w:rPr>
            </w:pPr>
          </w:p>
        </w:tc>
      </w:tr>
      <w:tr w14:paraId="7E193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05" w:hRule="atLeast"/>
          <w:jc w:val="center"/>
        </w:trPr>
        <w:tc>
          <w:tcPr>
            <w:tcW w:w="536" w:type="dxa"/>
            <w:vAlign w:val="center"/>
          </w:tcPr>
          <w:p w14:paraId="256FB63B">
            <w:pPr>
              <w:autoSpaceDE w:val="0"/>
              <w:autoSpaceDN w:val="0"/>
              <w:spacing w:line="280" w:lineRule="exact"/>
              <w:jc w:val="center"/>
              <w:rPr>
                <w:rFonts w:hint="default" w:ascii="Times New Roman" w:hAnsi="Times New Roman" w:eastAsia="仿宋_GB2312" w:cs="方正仿宋_GBK"/>
                <w:color w:val="auto"/>
                <w:szCs w:val="21"/>
                <w:lang w:val="en-US" w:eastAsia="zh-CN"/>
              </w:rPr>
            </w:pPr>
            <w:r>
              <w:rPr>
                <w:rFonts w:hint="eastAsia" w:ascii="Times New Roman" w:hAnsi="Times New Roman" w:eastAsia="仿宋_GB2312" w:cs="方正仿宋_GBK"/>
                <w:color w:val="auto"/>
                <w:szCs w:val="21"/>
                <w:lang w:val="en-US" w:eastAsia="zh-CN"/>
              </w:rPr>
              <w:t>15</w:t>
            </w:r>
          </w:p>
        </w:tc>
        <w:tc>
          <w:tcPr>
            <w:tcW w:w="1324" w:type="dxa"/>
            <w:vAlign w:val="center"/>
          </w:tcPr>
          <w:p w14:paraId="5056E4E1">
            <w:pPr>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对房屋市政工程质量、安全及文明施工情况的行政检查</w:t>
            </w:r>
          </w:p>
        </w:tc>
        <w:tc>
          <w:tcPr>
            <w:tcW w:w="794" w:type="dxa"/>
            <w:vAlign w:val="center"/>
          </w:tcPr>
          <w:p w14:paraId="1DA60C40">
            <w:pPr>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苏州市相城区住房和城乡建设局</w:t>
            </w:r>
          </w:p>
        </w:tc>
        <w:tc>
          <w:tcPr>
            <w:tcW w:w="872" w:type="dxa"/>
            <w:vAlign w:val="center"/>
          </w:tcPr>
          <w:p w14:paraId="1007ECC1">
            <w:pPr>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相城区建设工程质量安全监督中心</w:t>
            </w:r>
          </w:p>
        </w:tc>
        <w:tc>
          <w:tcPr>
            <w:tcW w:w="869" w:type="dxa"/>
            <w:vAlign w:val="center"/>
          </w:tcPr>
          <w:p w14:paraId="0773B393">
            <w:pPr>
              <w:widowControl/>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施工</w:t>
            </w:r>
          </w:p>
          <w:p w14:paraId="7C34CDE4">
            <w:pPr>
              <w:widowControl/>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单位</w:t>
            </w:r>
          </w:p>
        </w:tc>
        <w:tc>
          <w:tcPr>
            <w:tcW w:w="4962" w:type="dxa"/>
            <w:vAlign w:val="center"/>
          </w:tcPr>
          <w:p w14:paraId="3009D0D0">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第七十三条  依照本条例规定，给予单位罚款处罚的，对单位直接负责的主管人员和其他直接责任人员处单位罚款数额5％以上10％以下的罚款。</w:t>
            </w:r>
          </w:p>
          <w:p w14:paraId="1BAF45B8">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第七十五条第一款  本条例规定的责令停业整顿、降低资质等级和吊销资质证书的行政处罚，由颁发资质证书的机关决定；其他行政处罚，由建设行政主管部门或者其他有关部门依照法定职权决定。</w:t>
            </w:r>
          </w:p>
          <w:p w14:paraId="07CEA239">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【行政法规】《民用建筑节能条例》</w:t>
            </w:r>
          </w:p>
          <w:p w14:paraId="30D7459B">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第十五条　设计单位、施工单位、工程监理单位及其注册执业人员，应当按照民用建筑节能强制性标准进行设计、施工、监理。</w:t>
            </w:r>
          </w:p>
          <w:p w14:paraId="00DF7C5E">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第四十条　违反本条例规定，施工单位未按照民用建筑节能强制性标准进行施工的，由县级以上地方人民政府建设主管部门责令改正，处民用建筑项目合同价款2%以上4%以下的罚款；情节严重的，由颁发资质证书的部门责令停业整顿，降低资质等级或者吊销资质证书；造成损失的，依法承担赔偿责任。</w:t>
            </w:r>
          </w:p>
          <w:p w14:paraId="102F5F55">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【行政法规】《建设工程抗震管理条例》</w:t>
            </w:r>
          </w:p>
          <w:p w14:paraId="3F49234D">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第十四条第三款  施工单位应当按照抗震设防强制性标准进行施工。</w:t>
            </w:r>
          </w:p>
          <w:p w14:paraId="1BC34F1E">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第四十二条　违反本条例规定，施工单位在施工中未按照抗震设防强制性标准进行施工的，责令改正，处工程合同价款2%以上4%以下的罚款；造成建设工程不符合抗震设防强制性标准的，负责返工、加固，并赔偿因此造成的损失；情节严重的，责令停业整顿，降低资质等级或者吊销资质证书。</w:t>
            </w:r>
          </w:p>
        </w:tc>
        <w:tc>
          <w:tcPr>
            <w:tcW w:w="992" w:type="dxa"/>
            <w:vAlign w:val="center"/>
          </w:tcPr>
          <w:p w14:paraId="33FDF9DD">
            <w:pPr>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现场检查、书面检查</w:t>
            </w:r>
          </w:p>
        </w:tc>
        <w:tc>
          <w:tcPr>
            <w:tcW w:w="1139" w:type="dxa"/>
            <w:vAlign w:val="center"/>
          </w:tcPr>
          <w:p w14:paraId="3337F8EA">
            <w:pPr>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双随机+重点检查</w:t>
            </w:r>
          </w:p>
        </w:tc>
        <w:tc>
          <w:tcPr>
            <w:tcW w:w="1491" w:type="dxa"/>
            <w:vAlign w:val="center"/>
          </w:tcPr>
          <w:p w14:paraId="79B9D33C">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320217284000</w:t>
            </w:r>
          </w:p>
        </w:tc>
        <w:tc>
          <w:tcPr>
            <w:tcW w:w="1481" w:type="dxa"/>
            <w:vAlign w:val="center"/>
          </w:tcPr>
          <w:p w14:paraId="42688C5D">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对施工单位在施工中偷工减料，使用不合格的建筑材料、建筑构配件和设备，或者有不按照工程设计图纸或者施工技术标准施工的其他行为的处罚</w:t>
            </w:r>
          </w:p>
        </w:tc>
        <w:tc>
          <w:tcPr>
            <w:tcW w:w="622" w:type="dxa"/>
            <w:vAlign w:val="center"/>
          </w:tcPr>
          <w:p w14:paraId="244F7D57">
            <w:pPr>
              <w:widowControl/>
              <w:autoSpaceDE w:val="0"/>
              <w:autoSpaceDN w:val="0"/>
              <w:spacing w:line="280" w:lineRule="exact"/>
              <w:jc w:val="left"/>
              <w:rPr>
                <w:rFonts w:ascii="Times New Roman" w:hAnsi="Times New Roman" w:eastAsia="仿宋_GB2312" w:cs="方正仿宋_GBK"/>
                <w:color w:val="auto"/>
                <w:szCs w:val="21"/>
              </w:rPr>
            </w:pPr>
          </w:p>
        </w:tc>
      </w:tr>
      <w:tr w14:paraId="4FA57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6" w:type="dxa"/>
            <w:vMerge w:val="restart"/>
            <w:vAlign w:val="center"/>
          </w:tcPr>
          <w:p w14:paraId="0BEBD49F">
            <w:pPr>
              <w:autoSpaceDE w:val="0"/>
              <w:autoSpaceDN w:val="0"/>
              <w:spacing w:line="280" w:lineRule="exact"/>
              <w:jc w:val="center"/>
              <w:rPr>
                <w:rFonts w:hint="default" w:ascii="Times New Roman" w:hAnsi="Times New Roman" w:eastAsia="仿宋_GB2312" w:cs="方正仿宋_GBK"/>
                <w:color w:val="auto"/>
                <w:szCs w:val="21"/>
                <w:lang w:val="en-US" w:eastAsia="zh-CN"/>
              </w:rPr>
            </w:pPr>
            <w:r>
              <w:rPr>
                <w:rFonts w:hint="eastAsia" w:ascii="Times New Roman" w:hAnsi="Times New Roman" w:eastAsia="仿宋_GB2312" w:cs="方正仿宋_GBK"/>
                <w:color w:val="auto"/>
                <w:szCs w:val="21"/>
                <w:lang w:val="en-US" w:eastAsia="zh-CN"/>
              </w:rPr>
              <w:t>15</w:t>
            </w:r>
          </w:p>
        </w:tc>
        <w:tc>
          <w:tcPr>
            <w:tcW w:w="1324" w:type="dxa"/>
            <w:vMerge w:val="restart"/>
            <w:vAlign w:val="center"/>
          </w:tcPr>
          <w:p w14:paraId="690163FF">
            <w:pPr>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对房屋市政工程质量、安全及文明施工情况的行政检查</w:t>
            </w:r>
          </w:p>
        </w:tc>
        <w:tc>
          <w:tcPr>
            <w:tcW w:w="794" w:type="dxa"/>
            <w:vMerge w:val="restart"/>
            <w:vAlign w:val="center"/>
          </w:tcPr>
          <w:p w14:paraId="109BE054">
            <w:pPr>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苏州市相城区住房和城乡建设局</w:t>
            </w:r>
          </w:p>
        </w:tc>
        <w:tc>
          <w:tcPr>
            <w:tcW w:w="872" w:type="dxa"/>
            <w:vMerge w:val="restart"/>
            <w:vAlign w:val="center"/>
          </w:tcPr>
          <w:p w14:paraId="06300581">
            <w:pPr>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相城区建设工程质量安全监督中心</w:t>
            </w:r>
          </w:p>
        </w:tc>
        <w:tc>
          <w:tcPr>
            <w:tcW w:w="869" w:type="dxa"/>
            <w:vAlign w:val="center"/>
          </w:tcPr>
          <w:p w14:paraId="6CAA7AA5">
            <w:pPr>
              <w:widowControl/>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施工</w:t>
            </w:r>
          </w:p>
          <w:p w14:paraId="7B163CDB">
            <w:pPr>
              <w:widowControl/>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单位</w:t>
            </w:r>
          </w:p>
        </w:tc>
        <w:tc>
          <w:tcPr>
            <w:tcW w:w="4962" w:type="dxa"/>
            <w:vAlign w:val="center"/>
          </w:tcPr>
          <w:p w14:paraId="56CA977A">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第四十七条　依照本条例规定，给予单位罚款处罚的，对其直接负责的主管人员和其他直接责任人员处单位罚款数额5%以上10%以下的罚款。</w:t>
            </w:r>
          </w:p>
          <w:p w14:paraId="38C6B1B5">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本条例规定的降低资质等级或者吊销资质证书的行政处罚，由颁发资质证书的机关决定；其他行政处罚，由住房和城乡建设主管部门或者其他有关监督管理部门依照法定职权决定。</w:t>
            </w:r>
          </w:p>
          <w:p w14:paraId="54129410">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【部门规章】《建筑业企业资质管理规定》</w:t>
            </w:r>
          </w:p>
          <w:p w14:paraId="087FFD1E">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第二十三条　企业申请建筑业企业资质升级、资质增项，在申请之日起前一年至资质许可决定作出前，有下列情形之一的，资质许可机关不予批准其建筑业企业资质升级申请和增项申请：</w:t>
            </w:r>
          </w:p>
          <w:p w14:paraId="3AC8E6FF">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（五）违反国家工程建设强制性标准施工的；</w:t>
            </w:r>
          </w:p>
          <w:p w14:paraId="63DBF588">
            <w:pPr>
              <w:widowControl/>
              <w:autoSpaceDE w:val="0"/>
              <w:autoSpaceDN w:val="0"/>
              <w:spacing w:line="26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第三十七条　企业有本规定第二十三条行为之一，《中华人民共和国建筑法》《建设工程质量管理条例》和其他有关法律、法规对处罚机关和处罚方式有规定的，依照法律、法规的规定执行；法律、法规未作规定的，由县级以上地方人民政府住房城乡建设主管部门或者其他有关部门给予警告，责令改正，并处1万元以上3万元以下的罚款。</w:t>
            </w:r>
          </w:p>
        </w:tc>
        <w:tc>
          <w:tcPr>
            <w:tcW w:w="992" w:type="dxa"/>
            <w:vAlign w:val="center"/>
          </w:tcPr>
          <w:p w14:paraId="7E039F52">
            <w:pPr>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现场检查、书面检查</w:t>
            </w:r>
          </w:p>
        </w:tc>
        <w:tc>
          <w:tcPr>
            <w:tcW w:w="1139" w:type="dxa"/>
            <w:vAlign w:val="center"/>
          </w:tcPr>
          <w:p w14:paraId="48D54A88">
            <w:pPr>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双随机+重点检查</w:t>
            </w:r>
          </w:p>
        </w:tc>
        <w:tc>
          <w:tcPr>
            <w:tcW w:w="1491" w:type="dxa"/>
            <w:vAlign w:val="center"/>
          </w:tcPr>
          <w:p w14:paraId="12A07C39">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320217284000</w:t>
            </w:r>
          </w:p>
        </w:tc>
        <w:tc>
          <w:tcPr>
            <w:tcW w:w="1481" w:type="dxa"/>
            <w:vAlign w:val="center"/>
          </w:tcPr>
          <w:p w14:paraId="58E01F4D">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对施工单位在施工中偷工减料，使用不合格的建筑材料、建筑构配件和设备，或者有不按照工程设计图纸或者施工技术标准施工的其他行为的处罚</w:t>
            </w:r>
          </w:p>
        </w:tc>
        <w:tc>
          <w:tcPr>
            <w:tcW w:w="622" w:type="dxa"/>
            <w:vAlign w:val="center"/>
          </w:tcPr>
          <w:p w14:paraId="6AD71312">
            <w:pPr>
              <w:widowControl/>
              <w:autoSpaceDE w:val="0"/>
              <w:autoSpaceDN w:val="0"/>
              <w:spacing w:line="280" w:lineRule="exact"/>
              <w:jc w:val="left"/>
              <w:rPr>
                <w:rFonts w:ascii="Times New Roman" w:hAnsi="Times New Roman" w:eastAsia="仿宋_GB2312" w:cs="方正仿宋_GBK"/>
                <w:color w:val="auto"/>
                <w:szCs w:val="21"/>
              </w:rPr>
            </w:pPr>
          </w:p>
        </w:tc>
      </w:tr>
      <w:tr w14:paraId="0A985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6" w:type="dxa"/>
            <w:vMerge w:val="continue"/>
            <w:vAlign w:val="center"/>
          </w:tcPr>
          <w:p w14:paraId="52F910F2">
            <w:pPr>
              <w:widowControl/>
              <w:autoSpaceDE w:val="0"/>
              <w:autoSpaceDN w:val="0"/>
              <w:spacing w:line="280" w:lineRule="exact"/>
              <w:jc w:val="left"/>
              <w:rPr>
                <w:rFonts w:ascii="Times New Roman" w:hAnsi="Times New Roman" w:eastAsia="仿宋_GB2312" w:cs="方正仿宋_GBK"/>
                <w:color w:val="auto"/>
                <w:szCs w:val="21"/>
              </w:rPr>
            </w:pPr>
          </w:p>
        </w:tc>
        <w:tc>
          <w:tcPr>
            <w:tcW w:w="1324" w:type="dxa"/>
            <w:vMerge w:val="continue"/>
            <w:vAlign w:val="center"/>
          </w:tcPr>
          <w:p w14:paraId="2C4357E9">
            <w:pPr>
              <w:widowControl/>
              <w:autoSpaceDE w:val="0"/>
              <w:autoSpaceDN w:val="0"/>
              <w:spacing w:line="280" w:lineRule="exact"/>
              <w:jc w:val="left"/>
              <w:rPr>
                <w:rFonts w:ascii="Times New Roman" w:hAnsi="Times New Roman" w:eastAsia="仿宋_GB2312" w:cs="方正仿宋_GBK"/>
                <w:color w:val="auto"/>
                <w:szCs w:val="21"/>
              </w:rPr>
            </w:pPr>
          </w:p>
        </w:tc>
        <w:tc>
          <w:tcPr>
            <w:tcW w:w="794" w:type="dxa"/>
            <w:vMerge w:val="continue"/>
            <w:vAlign w:val="center"/>
          </w:tcPr>
          <w:p w14:paraId="2DEEBE73">
            <w:pPr>
              <w:widowControl/>
              <w:autoSpaceDE w:val="0"/>
              <w:autoSpaceDN w:val="0"/>
              <w:spacing w:line="280" w:lineRule="exact"/>
              <w:jc w:val="left"/>
              <w:rPr>
                <w:rFonts w:ascii="Times New Roman" w:hAnsi="Times New Roman" w:eastAsia="仿宋_GB2312" w:cs="方正仿宋_GBK"/>
                <w:color w:val="auto"/>
                <w:szCs w:val="21"/>
              </w:rPr>
            </w:pPr>
          </w:p>
        </w:tc>
        <w:tc>
          <w:tcPr>
            <w:tcW w:w="872" w:type="dxa"/>
            <w:vMerge w:val="continue"/>
            <w:vAlign w:val="center"/>
          </w:tcPr>
          <w:p w14:paraId="5571D316">
            <w:pPr>
              <w:widowControl/>
              <w:autoSpaceDE w:val="0"/>
              <w:autoSpaceDN w:val="0"/>
              <w:spacing w:line="280" w:lineRule="exact"/>
              <w:jc w:val="left"/>
              <w:rPr>
                <w:rFonts w:ascii="Times New Roman" w:hAnsi="Times New Roman" w:eastAsia="仿宋_GB2312" w:cs="方正仿宋_GBK"/>
                <w:color w:val="auto"/>
                <w:szCs w:val="21"/>
              </w:rPr>
            </w:pPr>
          </w:p>
        </w:tc>
        <w:tc>
          <w:tcPr>
            <w:tcW w:w="869" w:type="dxa"/>
            <w:vAlign w:val="center"/>
          </w:tcPr>
          <w:p w14:paraId="17402007">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房地产开发企业</w:t>
            </w:r>
          </w:p>
        </w:tc>
        <w:tc>
          <w:tcPr>
            <w:tcW w:w="4962" w:type="dxa"/>
            <w:vAlign w:val="center"/>
          </w:tcPr>
          <w:p w14:paraId="0BEE6B8D">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【规章】《江苏省房屋建筑和市政基础设施工程质量监督管理办法》</w:t>
            </w:r>
          </w:p>
          <w:p w14:paraId="735162D7">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第十七条第一款  建设单位是工程质量的第一责任人，应当执行法定基本建设程序，履行下列工程质量义务：</w:t>
            </w:r>
          </w:p>
          <w:p w14:paraId="3479081F">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二）房地产开发企业应当对所售商品房承担质量保修责任，在质量保修期内发生的属于保修范围的质量问题应当履行保修义务，并依法承担相应的赔偿责任；在工程竣工验收前，应当将预留的工程质量保证金交由工程所在地住房和城乡建设行政主管部门</w:t>
            </w:r>
          </w:p>
        </w:tc>
        <w:tc>
          <w:tcPr>
            <w:tcW w:w="992" w:type="dxa"/>
            <w:vAlign w:val="center"/>
          </w:tcPr>
          <w:p w14:paraId="2EA30D42">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现场检查、书面检查</w:t>
            </w:r>
          </w:p>
        </w:tc>
        <w:tc>
          <w:tcPr>
            <w:tcW w:w="1139" w:type="dxa"/>
            <w:vAlign w:val="center"/>
          </w:tcPr>
          <w:p w14:paraId="21F852AA">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双随机+重点检查</w:t>
            </w:r>
          </w:p>
        </w:tc>
        <w:tc>
          <w:tcPr>
            <w:tcW w:w="1491" w:type="dxa"/>
            <w:vAlign w:val="center"/>
          </w:tcPr>
          <w:p w14:paraId="75C0DE9B">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320217487000</w:t>
            </w:r>
          </w:p>
        </w:tc>
        <w:tc>
          <w:tcPr>
            <w:tcW w:w="1481" w:type="dxa"/>
            <w:vAlign w:val="center"/>
          </w:tcPr>
          <w:p w14:paraId="78AF9321">
            <w:pPr>
              <w:keepNext w:val="0"/>
              <w:keepLines w:val="0"/>
              <w:pageBreakBefore w:val="0"/>
              <w:widowControl/>
              <w:kinsoku/>
              <w:wordWrap/>
              <w:overflowPunct/>
              <w:topLinePunct w:val="0"/>
              <w:autoSpaceDE w:val="0"/>
              <w:autoSpaceDN w:val="0"/>
              <w:bidi w:val="0"/>
              <w:adjustRightInd/>
              <w:snapToGrid/>
              <w:spacing w:line="240" w:lineRule="exact"/>
              <w:jc w:val="left"/>
              <w:textAlignment w:val="auto"/>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对房地产开发企业未依法承担所售商品房相应的质量保修责任，或者未按照规定将预留的工程质量保证金交由工程所在地住房和城乡建设行政主管部门管理的处罚</w:t>
            </w:r>
          </w:p>
        </w:tc>
        <w:tc>
          <w:tcPr>
            <w:tcW w:w="622" w:type="dxa"/>
            <w:vAlign w:val="center"/>
          </w:tcPr>
          <w:p w14:paraId="38E3E952">
            <w:pPr>
              <w:widowControl/>
              <w:autoSpaceDE w:val="0"/>
              <w:autoSpaceDN w:val="0"/>
              <w:spacing w:line="280" w:lineRule="exact"/>
              <w:jc w:val="left"/>
              <w:rPr>
                <w:rFonts w:ascii="Times New Roman" w:hAnsi="Times New Roman" w:eastAsia="仿宋_GB2312" w:cs="方正仿宋_GBK"/>
                <w:color w:val="auto"/>
                <w:szCs w:val="21"/>
              </w:rPr>
            </w:pPr>
          </w:p>
        </w:tc>
      </w:tr>
      <w:tr w14:paraId="79C2A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6" w:type="dxa"/>
            <w:vMerge w:val="restart"/>
            <w:vAlign w:val="center"/>
          </w:tcPr>
          <w:p w14:paraId="11170A3D">
            <w:pPr>
              <w:autoSpaceDE w:val="0"/>
              <w:autoSpaceDN w:val="0"/>
              <w:spacing w:line="280" w:lineRule="exact"/>
              <w:jc w:val="center"/>
              <w:rPr>
                <w:rFonts w:hint="default" w:ascii="Times New Roman" w:hAnsi="Times New Roman" w:eastAsia="仿宋_GB2312" w:cs="方正仿宋_GBK"/>
                <w:color w:val="auto"/>
                <w:szCs w:val="21"/>
                <w:lang w:val="en-US" w:eastAsia="zh-CN"/>
              </w:rPr>
            </w:pPr>
            <w:r>
              <w:rPr>
                <w:rFonts w:hint="eastAsia" w:ascii="Times New Roman" w:hAnsi="Times New Roman" w:eastAsia="仿宋_GB2312" w:cs="方正仿宋_GBK"/>
                <w:color w:val="auto"/>
                <w:szCs w:val="21"/>
                <w:lang w:val="en-US" w:eastAsia="zh-CN"/>
              </w:rPr>
              <w:t>15</w:t>
            </w:r>
          </w:p>
        </w:tc>
        <w:tc>
          <w:tcPr>
            <w:tcW w:w="1324" w:type="dxa"/>
            <w:vMerge w:val="restart"/>
            <w:vAlign w:val="center"/>
          </w:tcPr>
          <w:p w14:paraId="1ED60CAE">
            <w:pPr>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对房屋市政工程质量、安全及文明施工情况的行政检查</w:t>
            </w:r>
          </w:p>
        </w:tc>
        <w:tc>
          <w:tcPr>
            <w:tcW w:w="794" w:type="dxa"/>
            <w:vMerge w:val="restart"/>
            <w:vAlign w:val="center"/>
          </w:tcPr>
          <w:p w14:paraId="05D1D4B8">
            <w:pPr>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苏州市相城区住房和城乡建设局</w:t>
            </w:r>
          </w:p>
        </w:tc>
        <w:tc>
          <w:tcPr>
            <w:tcW w:w="872" w:type="dxa"/>
            <w:vMerge w:val="restart"/>
            <w:vAlign w:val="center"/>
          </w:tcPr>
          <w:p w14:paraId="3DF67AB6">
            <w:pPr>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相城区建设工程质量安全监督中心</w:t>
            </w:r>
          </w:p>
        </w:tc>
        <w:tc>
          <w:tcPr>
            <w:tcW w:w="869" w:type="dxa"/>
            <w:vAlign w:val="center"/>
          </w:tcPr>
          <w:p w14:paraId="6A42C09A">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房地产开发企业</w:t>
            </w:r>
          </w:p>
        </w:tc>
        <w:tc>
          <w:tcPr>
            <w:tcW w:w="4962" w:type="dxa"/>
            <w:vAlign w:val="center"/>
          </w:tcPr>
          <w:p w14:paraId="089F5976">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管理。</w:t>
            </w:r>
          </w:p>
          <w:p w14:paraId="6AC9452F">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第二十三条第一款  违反本办法第十七条第（二）项规定，房地产开发企业未依法承担所售商品房相应的质量保修责任，或者未按照规定将预留的工程质量保证金交由工程所在地住房和城乡建设行政主管部门管理的，由住房和城乡建设行政主管部门责令改正，并可处2万元以上3万元以下罚款。</w:t>
            </w:r>
          </w:p>
        </w:tc>
        <w:tc>
          <w:tcPr>
            <w:tcW w:w="992" w:type="dxa"/>
            <w:vMerge w:val="restart"/>
            <w:vAlign w:val="center"/>
          </w:tcPr>
          <w:p w14:paraId="07F1B53B">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现场检查、书面检查</w:t>
            </w:r>
          </w:p>
        </w:tc>
        <w:tc>
          <w:tcPr>
            <w:tcW w:w="1139" w:type="dxa"/>
            <w:vMerge w:val="restart"/>
            <w:vAlign w:val="center"/>
          </w:tcPr>
          <w:p w14:paraId="7AB33094">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双随机+重点检查</w:t>
            </w:r>
          </w:p>
        </w:tc>
        <w:tc>
          <w:tcPr>
            <w:tcW w:w="1491" w:type="dxa"/>
            <w:vAlign w:val="center"/>
          </w:tcPr>
          <w:p w14:paraId="5C43F5A1">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320217487000</w:t>
            </w:r>
          </w:p>
        </w:tc>
        <w:tc>
          <w:tcPr>
            <w:tcW w:w="1481" w:type="dxa"/>
            <w:vAlign w:val="center"/>
          </w:tcPr>
          <w:p w14:paraId="7E34CB46">
            <w:pPr>
              <w:keepNext w:val="0"/>
              <w:keepLines w:val="0"/>
              <w:pageBreakBefore w:val="0"/>
              <w:widowControl/>
              <w:kinsoku/>
              <w:wordWrap/>
              <w:overflowPunct/>
              <w:topLinePunct w:val="0"/>
              <w:autoSpaceDE w:val="0"/>
              <w:autoSpaceDN w:val="0"/>
              <w:bidi w:val="0"/>
              <w:adjustRightInd/>
              <w:snapToGrid/>
              <w:spacing w:line="220" w:lineRule="exact"/>
              <w:jc w:val="left"/>
              <w:textAlignment w:val="auto"/>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对房地产开发企业未依法承担所售商品房相应的质量保修责任，或者未按照规定将预留的工程质量保证金交由工程所在地住房和城乡建设行政主管部门管理的处罚</w:t>
            </w:r>
          </w:p>
        </w:tc>
        <w:tc>
          <w:tcPr>
            <w:tcW w:w="622" w:type="dxa"/>
            <w:vAlign w:val="center"/>
          </w:tcPr>
          <w:p w14:paraId="7E6A0F70">
            <w:pPr>
              <w:widowControl/>
              <w:autoSpaceDE w:val="0"/>
              <w:autoSpaceDN w:val="0"/>
              <w:spacing w:line="280" w:lineRule="exact"/>
              <w:jc w:val="left"/>
              <w:rPr>
                <w:rFonts w:ascii="Times New Roman" w:hAnsi="Times New Roman" w:eastAsia="仿宋_GB2312" w:cs="方正仿宋_GBK"/>
                <w:color w:val="auto"/>
                <w:szCs w:val="21"/>
              </w:rPr>
            </w:pPr>
          </w:p>
        </w:tc>
      </w:tr>
      <w:tr w14:paraId="60B896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6" w:type="dxa"/>
            <w:vMerge w:val="continue"/>
            <w:vAlign w:val="center"/>
          </w:tcPr>
          <w:p w14:paraId="368BCEDA">
            <w:pPr>
              <w:widowControl/>
              <w:autoSpaceDE w:val="0"/>
              <w:autoSpaceDN w:val="0"/>
              <w:spacing w:line="280" w:lineRule="exact"/>
              <w:jc w:val="left"/>
              <w:rPr>
                <w:rFonts w:ascii="Times New Roman" w:hAnsi="Times New Roman" w:eastAsia="仿宋_GB2312" w:cs="方正仿宋_GBK"/>
                <w:color w:val="auto"/>
                <w:szCs w:val="21"/>
              </w:rPr>
            </w:pPr>
          </w:p>
        </w:tc>
        <w:tc>
          <w:tcPr>
            <w:tcW w:w="1324" w:type="dxa"/>
            <w:vMerge w:val="continue"/>
            <w:vAlign w:val="center"/>
          </w:tcPr>
          <w:p w14:paraId="5C96AB4F">
            <w:pPr>
              <w:widowControl/>
              <w:autoSpaceDE w:val="0"/>
              <w:autoSpaceDN w:val="0"/>
              <w:spacing w:line="280" w:lineRule="exact"/>
              <w:jc w:val="left"/>
              <w:rPr>
                <w:rFonts w:ascii="Times New Roman" w:hAnsi="Times New Roman" w:eastAsia="仿宋_GB2312" w:cs="方正仿宋_GBK"/>
                <w:color w:val="auto"/>
                <w:szCs w:val="21"/>
              </w:rPr>
            </w:pPr>
          </w:p>
        </w:tc>
        <w:tc>
          <w:tcPr>
            <w:tcW w:w="794" w:type="dxa"/>
            <w:vMerge w:val="continue"/>
            <w:vAlign w:val="center"/>
          </w:tcPr>
          <w:p w14:paraId="3CC99266">
            <w:pPr>
              <w:widowControl/>
              <w:autoSpaceDE w:val="0"/>
              <w:autoSpaceDN w:val="0"/>
              <w:spacing w:line="280" w:lineRule="exact"/>
              <w:jc w:val="left"/>
              <w:rPr>
                <w:rFonts w:ascii="Times New Roman" w:hAnsi="Times New Roman" w:eastAsia="仿宋_GB2312" w:cs="方正仿宋_GBK"/>
                <w:color w:val="auto"/>
                <w:szCs w:val="21"/>
              </w:rPr>
            </w:pPr>
          </w:p>
        </w:tc>
        <w:tc>
          <w:tcPr>
            <w:tcW w:w="872" w:type="dxa"/>
            <w:vMerge w:val="continue"/>
            <w:vAlign w:val="center"/>
          </w:tcPr>
          <w:p w14:paraId="733CEE91">
            <w:pPr>
              <w:widowControl/>
              <w:autoSpaceDE w:val="0"/>
              <w:autoSpaceDN w:val="0"/>
              <w:spacing w:line="280" w:lineRule="exact"/>
              <w:jc w:val="left"/>
              <w:rPr>
                <w:rFonts w:ascii="Times New Roman" w:hAnsi="Times New Roman" w:eastAsia="仿宋_GB2312" w:cs="方正仿宋_GBK"/>
                <w:color w:val="auto"/>
                <w:szCs w:val="21"/>
              </w:rPr>
            </w:pPr>
          </w:p>
        </w:tc>
        <w:tc>
          <w:tcPr>
            <w:tcW w:w="869" w:type="dxa"/>
            <w:vAlign w:val="center"/>
          </w:tcPr>
          <w:p w14:paraId="7D1F14AA">
            <w:pPr>
              <w:widowControl/>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监理</w:t>
            </w:r>
          </w:p>
          <w:p w14:paraId="40921496">
            <w:pPr>
              <w:widowControl/>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单位</w:t>
            </w:r>
          </w:p>
        </w:tc>
        <w:tc>
          <w:tcPr>
            <w:tcW w:w="4962" w:type="dxa"/>
            <w:vAlign w:val="center"/>
          </w:tcPr>
          <w:p w14:paraId="4E4C1E81">
            <w:pPr>
              <w:keepNext w:val="0"/>
              <w:keepLines w:val="0"/>
              <w:pageBreakBefore w:val="0"/>
              <w:widowControl/>
              <w:kinsoku/>
              <w:wordWrap/>
              <w:overflowPunct/>
              <w:topLinePunct w:val="0"/>
              <w:autoSpaceDE w:val="0"/>
              <w:autoSpaceDN w:val="0"/>
              <w:bidi w:val="0"/>
              <w:adjustRightInd/>
              <w:snapToGrid/>
              <w:spacing w:line="240" w:lineRule="exact"/>
              <w:jc w:val="left"/>
              <w:textAlignment w:val="auto"/>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【规章】《建筑起重机械安全监督管理规定》</w:t>
            </w:r>
          </w:p>
          <w:p w14:paraId="5866AA11">
            <w:pPr>
              <w:keepNext w:val="0"/>
              <w:keepLines w:val="0"/>
              <w:pageBreakBefore w:val="0"/>
              <w:widowControl/>
              <w:kinsoku/>
              <w:wordWrap/>
              <w:overflowPunct/>
              <w:topLinePunct w:val="0"/>
              <w:autoSpaceDE w:val="0"/>
              <w:autoSpaceDN w:val="0"/>
              <w:bidi w:val="0"/>
              <w:adjustRightInd/>
              <w:snapToGrid/>
              <w:spacing w:line="240" w:lineRule="exact"/>
              <w:ind w:firstLine="420" w:firstLineChars="200"/>
              <w:jc w:val="left"/>
              <w:textAlignment w:val="auto"/>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第二十二条　监理单位应当履行下列安全职责：</w:t>
            </w:r>
          </w:p>
          <w:p w14:paraId="0397FEFA">
            <w:pPr>
              <w:keepNext w:val="0"/>
              <w:keepLines w:val="0"/>
              <w:pageBreakBefore w:val="0"/>
              <w:widowControl/>
              <w:kinsoku/>
              <w:wordWrap/>
              <w:overflowPunct/>
              <w:topLinePunct w:val="0"/>
              <w:autoSpaceDE w:val="0"/>
              <w:autoSpaceDN w:val="0"/>
              <w:bidi w:val="0"/>
              <w:adjustRightInd/>
              <w:snapToGrid/>
              <w:spacing w:line="240" w:lineRule="exact"/>
              <w:ind w:firstLine="420" w:firstLineChars="200"/>
              <w:jc w:val="left"/>
              <w:textAlignment w:val="auto"/>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（一）审核建筑起重机械特种设备制造许可证、产品合格证、制造监督检验证明、备案证明等文件；</w:t>
            </w:r>
          </w:p>
          <w:p w14:paraId="0F58E173">
            <w:pPr>
              <w:keepNext w:val="0"/>
              <w:keepLines w:val="0"/>
              <w:pageBreakBefore w:val="0"/>
              <w:widowControl/>
              <w:kinsoku/>
              <w:wordWrap/>
              <w:overflowPunct/>
              <w:topLinePunct w:val="0"/>
              <w:autoSpaceDE w:val="0"/>
              <w:autoSpaceDN w:val="0"/>
              <w:bidi w:val="0"/>
              <w:adjustRightInd/>
              <w:snapToGrid/>
              <w:spacing w:line="240" w:lineRule="exact"/>
              <w:ind w:firstLine="420" w:firstLineChars="200"/>
              <w:jc w:val="left"/>
              <w:textAlignment w:val="auto"/>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第三十二条  违反本规定，监理单位未履行第二十二条第（一）、（二）、（四）、（五）项安全职责的，由县级以上地方人民政府建设主管部门责令限期改正，予以警告，并处以5000元以上3万元以下罚款。</w:t>
            </w:r>
          </w:p>
        </w:tc>
        <w:tc>
          <w:tcPr>
            <w:tcW w:w="992" w:type="dxa"/>
            <w:vMerge w:val="continue"/>
            <w:vAlign w:val="center"/>
          </w:tcPr>
          <w:p w14:paraId="0CE7A7D2">
            <w:pPr>
              <w:autoSpaceDE w:val="0"/>
              <w:autoSpaceDN w:val="0"/>
              <w:spacing w:line="280" w:lineRule="exact"/>
              <w:jc w:val="left"/>
              <w:rPr>
                <w:rFonts w:ascii="Times New Roman" w:hAnsi="Times New Roman" w:eastAsia="仿宋_GB2312" w:cs="方正仿宋_GBK"/>
                <w:color w:val="auto"/>
                <w:szCs w:val="21"/>
              </w:rPr>
            </w:pPr>
          </w:p>
        </w:tc>
        <w:tc>
          <w:tcPr>
            <w:tcW w:w="1139" w:type="dxa"/>
            <w:vMerge w:val="continue"/>
            <w:vAlign w:val="center"/>
          </w:tcPr>
          <w:p w14:paraId="26E1EF25">
            <w:pPr>
              <w:autoSpaceDE w:val="0"/>
              <w:autoSpaceDN w:val="0"/>
              <w:spacing w:line="280" w:lineRule="exact"/>
              <w:jc w:val="left"/>
              <w:rPr>
                <w:rFonts w:ascii="Times New Roman" w:hAnsi="Times New Roman" w:eastAsia="仿宋_GB2312" w:cs="方正仿宋_GBK"/>
                <w:color w:val="auto"/>
                <w:szCs w:val="21"/>
              </w:rPr>
            </w:pPr>
          </w:p>
        </w:tc>
        <w:tc>
          <w:tcPr>
            <w:tcW w:w="1491" w:type="dxa"/>
            <w:vAlign w:val="center"/>
          </w:tcPr>
          <w:p w14:paraId="061595C9">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320217484000</w:t>
            </w:r>
          </w:p>
        </w:tc>
        <w:tc>
          <w:tcPr>
            <w:tcW w:w="1481" w:type="dxa"/>
            <w:vAlign w:val="center"/>
          </w:tcPr>
          <w:p w14:paraId="5589EBE7">
            <w:pPr>
              <w:widowControl/>
              <w:autoSpaceDE w:val="0"/>
              <w:autoSpaceDN w:val="0"/>
              <w:spacing w:line="26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对监理单位未审核建筑起重机械特种设备制造许可证、产品合格证、制造监督检验证明、备案证明等文件的处罚</w:t>
            </w:r>
          </w:p>
        </w:tc>
        <w:tc>
          <w:tcPr>
            <w:tcW w:w="622" w:type="dxa"/>
            <w:vAlign w:val="center"/>
          </w:tcPr>
          <w:p w14:paraId="48A4C50C">
            <w:pPr>
              <w:widowControl/>
              <w:autoSpaceDE w:val="0"/>
              <w:autoSpaceDN w:val="0"/>
              <w:spacing w:line="280" w:lineRule="exact"/>
              <w:jc w:val="left"/>
              <w:rPr>
                <w:rFonts w:ascii="Times New Roman" w:hAnsi="Times New Roman" w:eastAsia="仿宋_GB2312" w:cs="方正仿宋_GBK"/>
                <w:color w:val="auto"/>
                <w:szCs w:val="21"/>
              </w:rPr>
            </w:pPr>
          </w:p>
        </w:tc>
      </w:tr>
      <w:tr w14:paraId="0CD64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6" w:type="dxa"/>
            <w:vMerge w:val="continue"/>
            <w:vAlign w:val="center"/>
          </w:tcPr>
          <w:p w14:paraId="7792B7C0">
            <w:pPr>
              <w:widowControl/>
              <w:autoSpaceDE w:val="0"/>
              <w:autoSpaceDN w:val="0"/>
              <w:spacing w:line="280" w:lineRule="exact"/>
              <w:jc w:val="left"/>
              <w:rPr>
                <w:rFonts w:ascii="Times New Roman" w:hAnsi="Times New Roman" w:eastAsia="仿宋_GB2312" w:cs="方正仿宋_GBK"/>
                <w:color w:val="auto"/>
                <w:szCs w:val="21"/>
              </w:rPr>
            </w:pPr>
          </w:p>
        </w:tc>
        <w:tc>
          <w:tcPr>
            <w:tcW w:w="1324" w:type="dxa"/>
            <w:vMerge w:val="continue"/>
            <w:vAlign w:val="center"/>
          </w:tcPr>
          <w:p w14:paraId="410C0E2D">
            <w:pPr>
              <w:widowControl/>
              <w:autoSpaceDE w:val="0"/>
              <w:autoSpaceDN w:val="0"/>
              <w:spacing w:line="280" w:lineRule="exact"/>
              <w:jc w:val="left"/>
              <w:rPr>
                <w:rFonts w:ascii="Times New Roman" w:hAnsi="Times New Roman" w:eastAsia="仿宋_GB2312" w:cs="方正仿宋_GBK"/>
                <w:color w:val="auto"/>
                <w:szCs w:val="21"/>
              </w:rPr>
            </w:pPr>
          </w:p>
        </w:tc>
        <w:tc>
          <w:tcPr>
            <w:tcW w:w="794" w:type="dxa"/>
            <w:vMerge w:val="continue"/>
            <w:vAlign w:val="center"/>
          </w:tcPr>
          <w:p w14:paraId="5A50DD7F">
            <w:pPr>
              <w:widowControl/>
              <w:autoSpaceDE w:val="0"/>
              <w:autoSpaceDN w:val="0"/>
              <w:spacing w:line="280" w:lineRule="exact"/>
              <w:jc w:val="left"/>
              <w:rPr>
                <w:rFonts w:ascii="Times New Roman" w:hAnsi="Times New Roman" w:eastAsia="仿宋_GB2312" w:cs="方正仿宋_GBK"/>
                <w:color w:val="auto"/>
                <w:szCs w:val="21"/>
              </w:rPr>
            </w:pPr>
          </w:p>
        </w:tc>
        <w:tc>
          <w:tcPr>
            <w:tcW w:w="872" w:type="dxa"/>
            <w:vMerge w:val="continue"/>
            <w:vAlign w:val="center"/>
          </w:tcPr>
          <w:p w14:paraId="788FDAFE">
            <w:pPr>
              <w:widowControl/>
              <w:autoSpaceDE w:val="0"/>
              <w:autoSpaceDN w:val="0"/>
              <w:spacing w:line="280" w:lineRule="exact"/>
              <w:jc w:val="left"/>
              <w:rPr>
                <w:rFonts w:ascii="Times New Roman" w:hAnsi="Times New Roman" w:eastAsia="仿宋_GB2312" w:cs="方正仿宋_GBK"/>
                <w:color w:val="auto"/>
                <w:szCs w:val="21"/>
              </w:rPr>
            </w:pPr>
          </w:p>
        </w:tc>
        <w:tc>
          <w:tcPr>
            <w:tcW w:w="869" w:type="dxa"/>
            <w:vAlign w:val="center"/>
          </w:tcPr>
          <w:p w14:paraId="4B257F12">
            <w:pPr>
              <w:widowControl/>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施工</w:t>
            </w:r>
          </w:p>
          <w:p w14:paraId="3D5BAF9D">
            <w:pPr>
              <w:widowControl/>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单位</w:t>
            </w:r>
          </w:p>
        </w:tc>
        <w:tc>
          <w:tcPr>
            <w:tcW w:w="4962" w:type="dxa"/>
            <w:vAlign w:val="center"/>
          </w:tcPr>
          <w:p w14:paraId="2BCA17AD">
            <w:pPr>
              <w:keepNext w:val="0"/>
              <w:keepLines w:val="0"/>
              <w:pageBreakBefore w:val="0"/>
              <w:widowControl/>
              <w:kinsoku/>
              <w:wordWrap/>
              <w:overflowPunct/>
              <w:topLinePunct w:val="0"/>
              <w:autoSpaceDE w:val="0"/>
              <w:autoSpaceDN w:val="0"/>
              <w:bidi w:val="0"/>
              <w:adjustRightInd/>
              <w:snapToGrid/>
              <w:spacing w:line="240" w:lineRule="exact"/>
              <w:jc w:val="left"/>
              <w:textAlignment w:val="auto"/>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【规章】《江苏省房屋建筑和市政基础设施工程质量监督管理办法》</w:t>
            </w:r>
          </w:p>
          <w:p w14:paraId="55E962A3">
            <w:pPr>
              <w:keepNext w:val="0"/>
              <w:keepLines w:val="0"/>
              <w:pageBreakBefore w:val="0"/>
              <w:widowControl/>
              <w:kinsoku/>
              <w:wordWrap/>
              <w:overflowPunct/>
              <w:topLinePunct w:val="0"/>
              <w:autoSpaceDE w:val="0"/>
              <w:autoSpaceDN w:val="0"/>
              <w:bidi w:val="0"/>
              <w:adjustRightInd/>
              <w:snapToGrid/>
              <w:spacing w:line="240" w:lineRule="exact"/>
              <w:ind w:firstLine="420" w:firstLineChars="200"/>
              <w:jc w:val="left"/>
              <w:textAlignment w:val="auto"/>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第十九条  施工单位应当履行下列工程质量义务：</w:t>
            </w:r>
          </w:p>
          <w:p w14:paraId="415AA929">
            <w:pPr>
              <w:keepNext w:val="0"/>
              <w:keepLines w:val="0"/>
              <w:pageBreakBefore w:val="0"/>
              <w:widowControl/>
              <w:kinsoku/>
              <w:wordWrap/>
              <w:overflowPunct/>
              <w:topLinePunct w:val="0"/>
              <w:autoSpaceDE w:val="0"/>
              <w:autoSpaceDN w:val="0"/>
              <w:bidi w:val="0"/>
              <w:adjustRightInd/>
              <w:snapToGrid/>
              <w:spacing w:line="240" w:lineRule="exact"/>
              <w:ind w:firstLine="420" w:firstLineChars="200"/>
              <w:jc w:val="left"/>
              <w:textAlignment w:val="auto"/>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（一）按照规定配备相应的工程项目管理人员、检测仪器并规范标准，项目经理不得擅自变更和离岗，现场质量检查员应当由施工单位直接派驻，并对施工单位负责。</w:t>
            </w:r>
          </w:p>
          <w:p w14:paraId="6B4D25E1">
            <w:pPr>
              <w:keepNext w:val="0"/>
              <w:keepLines w:val="0"/>
              <w:pageBreakBefore w:val="0"/>
              <w:widowControl/>
              <w:kinsoku/>
              <w:wordWrap/>
              <w:overflowPunct/>
              <w:topLinePunct w:val="0"/>
              <w:autoSpaceDE w:val="0"/>
              <w:autoSpaceDN w:val="0"/>
              <w:bidi w:val="0"/>
              <w:adjustRightInd/>
              <w:snapToGrid/>
              <w:spacing w:line="240" w:lineRule="exact"/>
              <w:ind w:firstLine="420" w:firstLineChars="200"/>
              <w:jc w:val="left"/>
              <w:textAlignment w:val="auto"/>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第二十五条  违反本办法第十九条规定，施工单位有下列行为之一的，由住房和城乡建设行政主管部门责令改正，并可处5000元以上3万元以下罚款：</w:t>
            </w:r>
          </w:p>
          <w:p w14:paraId="76B88BFF">
            <w:pPr>
              <w:keepNext w:val="0"/>
              <w:keepLines w:val="0"/>
              <w:pageBreakBefore w:val="0"/>
              <w:widowControl/>
              <w:kinsoku/>
              <w:wordWrap/>
              <w:overflowPunct/>
              <w:topLinePunct w:val="0"/>
              <w:autoSpaceDE w:val="0"/>
              <w:autoSpaceDN w:val="0"/>
              <w:bidi w:val="0"/>
              <w:adjustRightInd/>
              <w:snapToGrid/>
              <w:spacing w:line="240" w:lineRule="exact"/>
              <w:ind w:firstLine="420" w:firstLineChars="200"/>
              <w:jc w:val="left"/>
              <w:textAlignment w:val="auto"/>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（一）未按照规定配备相应的工程项目管理人员的。</w:t>
            </w:r>
          </w:p>
        </w:tc>
        <w:tc>
          <w:tcPr>
            <w:tcW w:w="992" w:type="dxa"/>
            <w:vMerge w:val="continue"/>
            <w:vAlign w:val="center"/>
          </w:tcPr>
          <w:p w14:paraId="454C5035">
            <w:pPr>
              <w:widowControl/>
              <w:autoSpaceDE w:val="0"/>
              <w:autoSpaceDN w:val="0"/>
              <w:spacing w:line="280" w:lineRule="exact"/>
              <w:jc w:val="left"/>
              <w:rPr>
                <w:rFonts w:ascii="Times New Roman" w:hAnsi="Times New Roman" w:eastAsia="仿宋_GB2312" w:cs="方正仿宋_GBK"/>
                <w:color w:val="auto"/>
                <w:szCs w:val="21"/>
              </w:rPr>
            </w:pPr>
          </w:p>
        </w:tc>
        <w:tc>
          <w:tcPr>
            <w:tcW w:w="1139" w:type="dxa"/>
            <w:vMerge w:val="continue"/>
            <w:vAlign w:val="center"/>
          </w:tcPr>
          <w:p w14:paraId="112E2E73">
            <w:pPr>
              <w:widowControl/>
              <w:autoSpaceDE w:val="0"/>
              <w:autoSpaceDN w:val="0"/>
              <w:spacing w:line="280" w:lineRule="exact"/>
              <w:jc w:val="left"/>
              <w:rPr>
                <w:rFonts w:ascii="Times New Roman" w:hAnsi="Times New Roman" w:eastAsia="仿宋_GB2312" w:cs="方正仿宋_GBK"/>
                <w:color w:val="auto"/>
                <w:szCs w:val="21"/>
              </w:rPr>
            </w:pPr>
          </w:p>
        </w:tc>
        <w:tc>
          <w:tcPr>
            <w:tcW w:w="1491" w:type="dxa"/>
            <w:vAlign w:val="center"/>
          </w:tcPr>
          <w:p w14:paraId="0D5E7C81">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320217455000</w:t>
            </w:r>
          </w:p>
        </w:tc>
        <w:tc>
          <w:tcPr>
            <w:tcW w:w="1481" w:type="dxa"/>
            <w:vAlign w:val="center"/>
          </w:tcPr>
          <w:p w14:paraId="6755667D">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对施工单位未按照规定配备相应的工程项目管理人员的处罚</w:t>
            </w:r>
          </w:p>
        </w:tc>
        <w:tc>
          <w:tcPr>
            <w:tcW w:w="622" w:type="dxa"/>
            <w:vAlign w:val="center"/>
          </w:tcPr>
          <w:p w14:paraId="29AC5681">
            <w:pPr>
              <w:widowControl/>
              <w:autoSpaceDE w:val="0"/>
              <w:autoSpaceDN w:val="0"/>
              <w:spacing w:line="280" w:lineRule="exact"/>
              <w:jc w:val="left"/>
              <w:rPr>
                <w:rFonts w:ascii="Times New Roman" w:hAnsi="Times New Roman" w:eastAsia="仿宋_GB2312" w:cs="方正仿宋_GBK"/>
                <w:color w:val="auto"/>
                <w:szCs w:val="21"/>
              </w:rPr>
            </w:pPr>
          </w:p>
        </w:tc>
      </w:tr>
      <w:tr w14:paraId="60830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0" w:hRule="atLeast"/>
          <w:jc w:val="center"/>
        </w:trPr>
        <w:tc>
          <w:tcPr>
            <w:tcW w:w="536" w:type="dxa"/>
            <w:vMerge w:val="restart"/>
            <w:vAlign w:val="center"/>
          </w:tcPr>
          <w:p w14:paraId="60431488">
            <w:pPr>
              <w:autoSpaceDE w:val="0"/>
              <w:autoSpaceDN w:val="0"/>
              <w:spacing w:line="280" w:lineRule="exact"/>
              <w:jc w:val="center"/>
              <w:rPr>
                <w:rFonts w:hint="default" w:ascii="Times New Roman" w:hAnsi="Times New Roman" w:eastAsia="仿宋_GB2312" w:cs="方正仿宋_GBK"/>
                <w:color w:val="auto"/>
                <w:szCs w:val="21"/>
                <w:lang w:val="en-US" w:eastAsia="zh-CN"/>
              </w:rPr>
            </w:pPr>
            <w:r>
              <w:rPr>
                <w:rFonts w:hint="eastAsia" w:ascii="Times New Roman" w:hAnsi="Times New Roman" w:eastAsia="仿宋_GB2312" w:cs="方正仿宋_GBK"/>
                <w:color w:val="auto"/>
                <w:szCs w:val="21"/>
                <w:lang w:val="en-US" w:eastAsia="zh-CN"/>
              </w:rPr>
              <w:t>15</w:t>
            </w:r>
          </w:p>
        </w:tc>
        <w:tc>
          <w:tcPr>
            <w:tcW w:w="1324" w:type="dxa"/>
            <w:vMerge w:val="restart"/>
            <w:vAlign w:val="center"/>
          </w:tcPr>
          <w:p w14:paraId="4D26CEBB">
            <w:pPr>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对房屋市政工程质量、安全及文明施工情况的行政检查</w:t>
            </w:r>
          </w:p>
        </w:tc>
        <w:tc>
          <w:tcPr>
            <w:tcW w:w="794" w:type="dxa"/>
            <w:vMerge w:val="restart"/>
            <w:vAlign w:val="center"/>
          </w:tcPr>
          <w:p w14:paraId="64B146A4">
            <w:pPr>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苏州市相城区住房和城乡建设局</w:t>
            </w:r>
          </w:p>
        </w:tc>
        <w:tc>
          <w:tcPr>
            <w:tcW w:w="872" w:type="dxa"/>
            <w:vMerge w:val="restart"/>
            <w:vAlign w:val="center"/>
          </w:tcPr>
          <w:p w14:paraId="50A85A3A">
            <w:pPr>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相城区建设工程质量安全监督中心</w:t>
            </w:r>
          </w:p>
        </w:tc>
        <w:tc>
          <w:tcPr>
            <w:tcW w:w="869" w:type="dxa"/>
            <w:vAlign w:val="center"/>
          </w:tcPr>
          <w:p w14:paraId="0061A4ED">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勘察、设计单位</w:t>
            </w:r>
          </w:p>
        </w:tc>
        <w:tc>
          <w:tcPr>
            <w:tcW w:w="4962" w:type="dxa"/>
            <w:vAlign w:val="center"/>
          </w:tcPr>
          <w:p w14:paraId="64F82B9D">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【规章】《江苏省房屋建筑和市政基础设施工程质量监督管理办法》</w:t>
            </w:r>
          </w:p>
          <w:p w14:paraId="17BC3AF2">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第十八条  勘察、设计单位应当履行下列工程质量义务：</w:t>
            </w:r>
          </w:p>
          <w:p w14:paraId="02F7C221">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（三）按照规定参加工程相关验收并出具工程质量验收意见。</w:t>
            </w:r>
          </w:p>
          <w:p w14:paraId="458F86A2">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第二十四条  违反本办法第十八条第（三）项规定，勘察、设计单位未按照规定参加工程相关验收并出具工程质量验收意见的，由住房和城乡建设行政主管部门责令改正，并可处1万元以上3万元以下罚款。</w:t>
            </w:r>
          </w:p>
        </w:tc>
        <w:tc>
          <w:tcPr>
            <w:tcW w:w="992" w:type="dxa"/>
            <w:vMerge w:val="restart"/>
            <w:vAlign w:val="center"/>
          </w:tcPr>
          <w:p w14:paraId="54F09E88">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现场检查、书面检查</w:t>
            </w:r>
          </w:p>
        </w:tc>
        <w:tc>
          <w:tcPr>
            <w:tcW w:w="1139" w:type="dxa"/>
            <w:vMerge w:val="restart"/>
            <w:vAlign w:val="center"/>
          </w:tcPr>
          <w:p w14:paraId="7AFE6FD6">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双随机+重点检查</w:t>
            </w:r>
          </w:p>
        </w:tc>
        <w:tc>
          <w:tcPr>
            <w:tcW w:w="1491" w:type="dxa"/>
            <w:vAlign w:val="center"/>
          </w:tcPr>
          <w:p w14:paraId="444C7692">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320217454000</w:t>
            </w:r>
          </w:p>
        </w:tc>
        <w:tc>
          <w:tcPr>
            <w:tcW w:w="1481" w:type="dxa"/>
            <w:vAlign w:val="center"/>
          </w:tcPr>
          <w:p w14:paraId="76DF45F5">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对勘察、设计单位未按照规定参加工程相关验收并出具工程质量验收意见的处罚</w:t>
            </w:r>
          </w:p>
        </w:tc>
        <w:tc>
          <w:tcPr>
            <w:tcW w:w="622" w:type="dxa"/>
            <w:vAlign w:val="center"/>
          </w:tcPr>
          <w:p w14:paraId="07941133">
            <w:pPr>
              <w:widowControl/>
              <w:autoSpaceDE w:val="0"/>
              <w:autoSpaceDN w:val="0"/>
              <w:spacing w:line="280" w:lineRule="exact"/>
              <w:jc w:val="left"/>
              <w:rPr>
                <w:rFonts w:ascii="Times New Roman" w:hAnsi="Times New Roman" w:eastAsia="仿宋_GB2312" w:cs="方正仿宋_GBK"/>
                <w:color w:val="auto"/>
                <w:szCs w:val="21"/>
              </w:rPr>
            </w:pPr>
          </w:p>
        </w:tc>
      </w:tr>
      <w:tr w14:paraId="2C909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3" w:hRule="atLeast"/>
          <w:jc w:val="center"/>
        </w:trPr>
        <w:tc>
          <w:tcPr>
            <w:tcW w:w="536" w:type="dxa"/>
            <w:vMerge w:val="continue"/>
            <w:vAlign w:val="center"/>
          </w:tcPr>
          <w:p w14:paraId="11160CF7">
            <w:pPr>
              <w:widowControl/>
              <w:autoSpaceDE w:val="0"/>
              <w:autoSpaceDN w:val="0"/>
              <w:spacing w:line="280" w:lineRule="exact"/>
              <w:jc w:val="left"/>
              <w:rPr>
                <w:rFonts w:ascii="Times New Roman" w:hAnsi="Times New Roman" w:eastAsia="仿宋_GB2312" w:cs="方正仿宋_GBK"/>
                <w:color w:val="auto"/>
                <w:szCs w:val="21"/>
              </w:rPr>
            </w:pPr>
          </w:p>
        </w:tc>
        <w:tc>
          <w:tcPr>
            <w:tcW w:w="1324" w:type="dxa"/>
            <w:vMerge w:val="continue"/>
            <w:vAlign w:val="center"/>
          </w:tcPr>
          <w:p w14:paraId="46F817EB">
            <w:pPr>
              <w:widowControl/>
              <w:autoSpaceDE w:val="0"/>
              <w:autoSpaceDN w:val="0"/>
              <w:spacing w:line="280" w:lineRule="exact"/>
              <w:jc w:val="left"/>
              <w:rPr>
                <w:rFonts w:ascii="Times New Roman" w:hAnsi="Times New Roman" w:eastAsia="仿宋_GB2312" w:cs="方正仿宋_GBK"/>
                <w:color w:val="auto"/>
                <w:szCs w:val="21"/>
              </w:rPr>
            </w:pPr>
          </w:p>
        </w:tc>
        <w:tc>
          <w:tcPr>
            <w:tcW w:w="794" w:type="dxa"/>
            <w:vMerge w:val="continue"/>
            <w:vAlign w:val="center"/>
          </w:tcPr>
          <w:p w14:paraId="2972DCBF">
            <w:pPr>
              <w:widowControl/>
              <w:autoSpaceDE w:val="0"/>
              <w:autoSpaceDN w:val="0"/>
              <w:spacing w:line="280" w:lineRule="exact"/>
              <w:jc w:val="left"/>
              <w:rPr>
                <w:rFonts w:ascii="Times New Roman" w:hAnsi="Times New Roman" w:eastAsia="仿宋_GB2312" w:cs="方正仿宋_GBK"/>
                <w:color w:val="auto"/>
                <w:szCs w:val="21"/>
              </w:rPr>
            </w:pPr>
          </w:p>
        </w:tc>
        <w:tc>
          <w:tcPr>
            <w:tcW w:w="872" w:type="dxa"/>
            <w:vMerge w:val="continue"/>
            <w:vAlign w:val="center"/>
          </w:tcPr>
          <w:p w14:paraId="133E1461">
            <w:pPr>
              <w:widowControl/>
              <w:autoSpaceDE w:val="0"/>
              <w:autoSpaceDN w:val="0"/>
              <w:spacing w:line="280" w:lineRule="exact"/>
              <w:jc w:val="left"/>
              <w:rPr>
                <w:rFonts w:ascii="Times New Roman" w:hAnsi="Times New Roman" w:eastAsia="仿宋_GB2312" w:cs="方正仿宋_GBK"/>
                <w:color w:val="auto"/>
                <w:szCs w:val="21"/>
              </w:rPr>
            </w:pPr>
          </w:p>
        </w:tc>
        <w:tc>
          <w:tcPr>
            <w:tcW w:w="869" w:type="dxa"/>
            <w:vAlign w:val="center"/>
          </w:tcPr>
          <w:p w14:paraId="7B1B0238">
            <w:pPr>
              <w:widowControl/>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建设</w:t>
            </w:r>
          </w:p>
          <w:p w14:paraId="6777185E">
            <w:pPr>
              <w:widowControl/>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单位</w:t>
            </w:r>
          </w:p>
        </w:tc>
        <w:tc>
          <w:tcPr>
            <w:tcW w:w="4962" w:type="dxa"/>
            <w:vAlign w:val="center"/>
          </w:tcPr>
          <w:p w14:paraId="671C60C9">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【行政法规】《建设工程质量管理条例》</w:t>
            </w:r>
          </w:p>
          <w:p w14:paraId="532ACB8F">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第十六条第三款　建设工程经验收合格的，方可交付使用。</w:t>
            </w:r>
          </w:p>
          <w:p w14:paraId="25244688">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第五十八条　违反本条例规定，建设单位有下列行为之一的，责令改正，处工程合同价款2％以上4％以下的罚款；造成损失的，依法承担赔偿责任：</w:t>
            </w:r>
          </w:p>
          <w:p w14:paraId="2B9E0AD9">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（一）未组织竣工验收，擅自交付使用的。</w:t>
            </w:r>
          </w:p>
          <w:p w14:paraId="531CB49A">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第七十三条  依照本条例规定，给予单位罚款处罚的，对单位直接负责的主管人员和其他直接责任人员处单位罚款数额5％以上10％以下的罚款。</w:t>
            </w:r>
          </w:p>
          <w:p w14:paraId="1FE8A8BD">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第七十五条第一款  本条例规定的责令停业整顿、降低资质等级和吊销资质证书的行政处罚，由颁发资质证书的机关决定；其他行政处罚，由建设行政主管部门或者其他有关部门依照法定职权决定。</w:t>
            </w:r>
          </w:p>
        </w:tc>
        <w:tc>
          <w:tcPr>
            <w:tcW w:w="992" w:type="dxa"/>
            <w:vMerge w:val="continue"/>
            <w:vAlign w:val="center"/>
          </w:tcPr>
          <w:p w14:paraId="7636508A">
            <w:pPr>
              <w:widowControl/>
              <w:autoSpaceDE w:val="0"/>
              <w:autoSpaceDN w:val="0"/>
              <w:spacing w:line="280" w:lineRule="exact"/>
              <w:jc w:val="left"/>
              <w:rPr>
                <w:rFonts w:ascii="Times New Roman" w:hAnsi="Times New Roman" w:eastAsia="仿宋_GB2312" w:cs="方正仿宋_GBK"/>
                <w:color w:val="auto"/>
                <w:szCs w:val="21"/>
              </w:rPr>
            </w:pPr>
          </w:p>
        </w:tc>
        <w:tc>
          <w:tcPr>
            <w:tcW w:w="1139" w:type="dxa"/>
            <w:vMerge w:val="continue"/>
            <w:vAlign w:val="center"/>
          </w:tcPr>
          <w:p w14:paraId="1FE10F7F">
            <w:pPr>
              <w:widowControl/>
              <w:autoSpaceDE w:val="0"/>
              <w:autoSpaceDN w:val="0"/>
              <w:spacing w:line="280" w:lineRule="exact"/>
              <w:jc w:val="left"/>
              <w:rPr>
                <w:rFonts w:ascii="Times New Roman" w:hAnsi="Times New Roman" w:eastAsia="仿宋_GB2312" w:cs="方正仿宋_GBK"/>
                <w:color w:val="auto"/>
                <w:szCs w:val="21"/>
              </w:rPr>
            </w:pPr>
          </w:p>
        </w:tc>
        <w:tc>
          <w:tcPr>
            <w:tcW w:w="1491" w:type="dxa"/>
            <w:vAlign w:val="center"/>
          </w:tcPr>
          <w:p w14:paraId="05049ED0">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320217257000</w:t>
            </w:r>
          </w:p>
        </w:tc>
        <w:tc>
          <w:tcPr>
            <w:tcW w:w="1481" w:type="dxa"/>
            <w:vAlign w:val="center"/>
          </w:tcPr>
          <w:p w14:paraId="78003459">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对建设单位未组织竣工验收擅自交付使用的处罚</w:t>
            </w:r>
          </w:p>
        </w:tc>
        <w:tc>
          <w:tcPr>
            <w:tcW w:w="622" w:type="dxa"/>
            <w:vAlign w:val="center"/>
          </w:tcPr>
          <w:p w14:paraId="70CFB39B">
            <w:pPr>
              <w:widowControl/>
              <w:autoSpaceDE w:val="0"/>
              <w:autoSpaceDN w:val="0"/>
              <w:spacing w:line="280" w:lineRule="exact"/>
              <w:jc w:val="left"/>
              <w:rPr>
                <w:rFonts w:ascii="Times New Roman" w:hAnsi="Times New Roman" w:eastAsia="仿宋_GB2312" w:cs="方正仿宋_GBK"/>
                <w:color w:val="auto"/>
                <w:szCs w:val="21"/>
              </w:rPr>
            </w:pPr>
          </w:p>
        </w:tc>
      </w:tr>
      <w:tr w14:paraId="269851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6" w:type="dxa"/>
            <w:vAlign w:val="center"/>
          </w:tcPr>
          <w:p w14:paraId="41C0EF82">
            <w:pPr>
              <w:autoSpaceDE w:val="0"/>
              <w:autoSpaceDN w:val="0"/>
              <w:spacing w:line="280" w:lineRule="exact"/>
              <w:jc w:val="center"/>
              <w:rPr>
                <w:rFonts w:hint="default" w:ascii="Times New Roman" w:hAnsi="Times New Roman" w:eastAsia="仿宋_GB2312" w:cs="方正仿宋_GBK"/>
                <w:color w:val="auto"/>
                <w:szCs w:val="21"/>
                <w:lang w:val="en-US" w:eastAsia="zh-CN"/>
              </w:rPr>
            </w:pPr>
            <w:r>
              <w:rPr>
                <w:rFonts w:hint="eastAsia" w:ascii="Times New Roman" w:hAnsi="Times New Roman" w:eastAsia="仿宋_GB2312" w:cs="方正仿宋_GBK"/>
                <w:color w:val="auto"/>
                <w:szCs w:val="21"/>
                <w:lang w:val="en-US" w:eastAsia="zh-CN"/>
              </w:rPr>
              <w:t>15</w:t>
            </w:r>
          </w:p>
        </w:tc>
        <w:tc>
          <w:tcPr>
            <w:tcW w:w="1324" w:type="dxa"/>
            <w:vAlign w:val="center"/>
          </w:tcPr>
          <w:p w14:paraId="770D2835">
            <w:pPr>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对房屋市政工程质量、安全及文明施工情况的行政检查</w:t>
            </w:r>
          </w:p>
        </w:tc>
        <w:tc>
          <w:tcPr>
            <w:tcW w:w="794" w:type="dxa"/>
            <w:vAlign w:val="center"/>
          </w:tcPr>
          <w:p w14:paraId="1B40C827">
            <w:pPr>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苏州市相城区住房和城乡建设局</w:t>
            </w:r>
          </w:p>
        </w:tc>
        <w:tc>
          <w:tcPr>
            <w:tcW w:w="872" w:type="dxa"/>
            <w:vAlign w:val="center"/>
          </w:tcPr>
          <w:p w14:paraId="64A859D6">
            <w:pPr>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相城区建设工程质量安全监督中心</w:t>
            </w:r>
          </w:p>
        </w:tc>
        <w:tc>
          <w:tcPr>
            <w:tcW w:w="869" w:type="dxa"/>
            <w:vAlign w:val="center"/>
          </w:tcPr>
          <w:p w14:paraId="20BADAF9">
            <w:pPr>
              <w:widowControl/>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施工</w:t>
            </w:r>
          </w:p>
          <w:p w14:paraId="73F58DAE">
            <w:pPr>
              <w:widowControl/>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单位</w:t>
            </w:r>
          </w:p>
        </w:tc>
        <w:tc>
          <w:tcPr>
            <w:tcW w:w="4962" w:type="dxa"/>
            <w:vAlign w:val="center"/>
          </w:tcPr>
          <w:p w14:paraId="592BC9B2">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【行政法规】《建设工程安全生产管理条例》</w:t>
            </w:r>
          </w:p>
          <w:p w14:paraId="28349DAE">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第二十六条第一款　施工单位应当在施工组织设计中编制安全技术措施和施工现场临时用电方案，对下列达到一定规模的危险性较大的分部分项工程编制专项施工方案，并附具安全验算结果，经施工单位技术负责人、总监理工程师签字后实施，由专职安全生产管理人员进行现场监督：</w:t>
            </w:r>
          </w:p>
          <w:p w14:paraId="3CF42435">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（一）基坑支护与降水工程；</w:t>
            </w:r>
          </w:p>
          <w:p w14:paraId="24C495E4">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（二）土方开挖工程；</w:t>
            </w:r>
          </w:p>
          <w:p w14:paraId="483923FE">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（三）模板工程；</w:t>
            </w:r>
          </w:p>
          <w:p w14:paraId="31DBCF42">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（四）起重吊装工程；</w:t>
            </w:r>
          </w:p>
          <w:p w14:paraId="622A5E70">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（五）脚手架工程；</w:t>
            </w:r>
          </w:p>
          <w:p w14:paraId="2176E8BD">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（六）拆除、爆破工程；</w:t>
            </w:r>
          </w:p>
          <w:p w14:paraId="0B008CC5">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（七）国务院建设行政主管部门或者其他有关部门规定的其他危险性较大的工程。</w:t>
            </w:r>
          </w:p>
          <w:p w14:paraId="583020D7">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第六十五条　违反本条例的规定，施工单位有下列行为之一的，责令限期改正；逾期未改正的，责令停业整顿，并处10万元以上30万元以下的罚款；情节严重的，降低资质等级，直至吊销资质证书；造成重大安全事故，构成犯罪的，对直接责任人员，依照刑法有关规定追究刑事责任；造成损失的，依法承担赔偿责任：</w:t>
            </w:r>
          </w:p>
          <w:p w14:paraId="0526AB94">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（四）在施工组织设计中未编制安全技术措施、施工现场临时用电方案或者专项施工方案的。</w:t>
            </w:r>
          </w:p>
          <w:p w14:paraId="6A863CAF">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第六十八条　本条例规定的行政处罚，由建设行政主管部门或者其他有关部门依照法定职权决定。</w:t>
            </w:r>
          </w:p>
          <w:p w14:paraId="3213C585">
            <w:pPr>
              <w:widowControl/>
              <w:autoSpaceDE w:val="0"/>
              <w:autoSpaceDN w:val="0"/>
              <w:spacing w:line="27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违反消防安全管理规定的行为，由公安消防机构依法处罚。有关法律、行政法规对建设工程安全生产违法行为的行政处罚决定机关另有规定的，从其规定。</w:t>
            </w:r>
          </w:p>
        </w:tc>
        <w:tc>
          <w:tcPr>
            <w:tcW w:w="992" w:type="dxa"/>
            <w:vAlign w:val="center"/>
          </w:tcPr>
          <w:p w14:paraId="34D1792C">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现场检查、书面检查</w:t>
            </w:r>
          </w:p>
        </w:tc>
        <w:tc>
          <w:tcPr>
            <w:tcW w:w="1139" w:type="dxa"/>
            <w:vAlign w:val="center"/>
          </w:tcPr>
          <w:p w14:paraId="564794F2">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双随机+重点检查</w:t>
            </w:r>
          </w:p>
        </w:tc>
        <w:tc>
          <w:tcPr>
            <w:tcW w:w="1491" w:type="dxa"/>
            <w:vAlign w:val="center"/>
          </w:tcPr>
          <w:p w14:paraId="6C43CA94">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320217253000</w:t>
            </w:r>
          </w:p>
        </w:tc>
        <w:tc>
          <w:tcPr>
            <w:tcW w:w="1481" w:type="dxa"/>
            <w:vAlign w:val="center"/>
          </w:tcPr>
          <w:p w14:paraId="4009FA53">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对施工单位在施工组织设计中未编制安全技术措施、施工现场临时用电方案或者专项施工方案的处罚</w:t>
            </w:r>
          </w:p>
        </w:tc>
        <w:tc>
          <w:tcPr>
            <w:tcW w:w="622" w:type="dxa"/>
            <w:vAlign w:val="center"/>
          </w:tcPr>
          <w:p w14:paraId="65EBA5AE">
            <w:pPr>
              <w:widowControl/>
              <w:autoSpaceDE w:val="0"/>
              <w:autoSpaceDN w:val="0"/>
              <w:spacing w:line="280" w:lineRule="exact"/>
              <w:jc w:val="left"/>
              <w:rPr>
                <w:rFonts w:ascii="Times New Roman" w:hAnsi="Times New Roman" w:eastAsia="仿宋_GB2312" w:cs="方正仿宋_GBK"/>
                <w:color w:val="auto"/>
                <w:szCs w:val="21"/>
              </w:rPr>
            </w:pPr>
          </w:p>
        </w:tc>
      </w:tr>
      <w:tr w14:paraId="6AA473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6" w:type="dxa"/>
            <w:vMerge w:val="restart"/>
            <w:vAlign w:val="center"/>
          </w:tcPr>
          <w:p w14:paraId="381BD82D">
            <w:pPr>
              <w:autoSpaceDE w:val="0"/>
              <w:autoSpaceDN w:val="0"/>
              <w:spacing w:line="280" w:lineRule="exact"/>
              <w:jc w:val="center"/>
              <w:rPr>
                <w:rFonts w:hint="default" w:ascii="Times New Roman" w:hAnsi="Times New Roman" w:eastAsia="仿宋_GB2312" w:cs="方正仿宋_GBK"/>
                <w:color w:val="auto"/>
                <w:szCs w:val="21"/>
                <w:lang w:val="en-US" w:eastAsia="zh-CN"/>
              </w:rPr>
            </w:pPr>
            <w:r>
              <w:rPr>
                <w:rFonts w:hint="eastAsia" w:ascii="Times New Roman" w:hAnsi="Times New Roman" w:eastAsia="仿宋_GB2312" w:cs="方正仿宋_GBK"/>
                <w:color w:val="auto"/>
                <w:szCs w:val="21"/>
                <w:lang w:val="en-US" w:eastAsia="zh-CN"/>
              </w:rPr>
              <w:t>15</w:t>
            </w:r>
          </w:p>
        </w:tc>
        <w:tc>
          <w:tcPr>
            <w:tcW w:w="1324" w:type="dxa"/>
            <w:vMerge w:val="restart"/>
            <w:vAlign w:val="center"/>
          </w:tcPr>
          <w:p w14:paraId="020CCA28">
            <w:pPr>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对房屋市政工程质量、安全及文明施工情况的行政检查</w:t>
            </w:r>
          </w:p>
        </w:tc>
        <w:tc>
          <w:tcPr>
            <w:tcW w:w="794" w:type="dxa"/>
            <w:vMerge w:val="restart"/>
            <w:vAlign w:val="center"/>
          </w:tcPr>
          <w:p w14:paraId="655B966C">
            <w:pPr>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苏州市相城区住房和城乡建设局</w:t>
            </w:r>
          </w:p>
        </w:tc>
        <w:tc>
          <w:tcPr>
            <w:tcW w:w="872" w:type="dxa"/>
            <w:vMerge w:val="restart"/>
            <w:vAlign w:val="center"/>
          </w:tcPr>
          <w:p w14:paraId="46F71A24">
            <w:pPr>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相城区建设工程质量安全监督中心</w:t>
            </w:r>
          </w:p>
        </w:tc>
        <w:tc>
          <w:tcPr>
            <w:tcW w:w="869" w:type="dxa"/>
            <w:vMerge w:val="restart"/>
            <w:vAlign w:val="center"/>
          </w:tcPr>
          <w:p w14:paraId="0AA2A211">
            <w:pPr>
              <w:widowControl/>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施工</w:t>
            </w:r>
          </w:p>
          <w:p w14:paraId="4139B87A">
            <w:pPr>
              <w:widowControl/>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单位</w:t>
            </w:r>
          </w:p>
        </w:tc>
        <w:tc>
          <w:tcPr>
            <w:tcW w:w="4962" w:type="dxa"/>
            <w:vAlign w:val="center"/>
          </w:tcPr>
          <w:p w14:paraId="30C1F400">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【部门规章】《危险性较大的分部分项工程安全管理规定》</w:t>
            </w:r>
          </w:p>
          <w:p w14:paraId="0C078857">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第十条　施工单位应当在危大工程施工前组织工程技术人员编制专项施工方案。</w:t>
            </w:r>
          </w:p>
          <w:p w14:paraId="1B20A447">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实行施工总承包的，专项施工方案应当由施工总承包单位组织编制。危大工程实行分包的，专项施工方案可以由相关专业分包单位组织编制。</w:t>
            </w:r>
          </w:p>
          <w:p w14:paraId="39601B2B">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第十一条　专项施工方案应当由施工单位技术负责人审核签字、加盖单位公章，并由总监理工程师审查签字、加盖执业印章后方可实施。</w:t>
            </w:r>
          </w:p>
          <w:p w14:paraId="1C32BF40">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危大工程实行分包并由分包单位编制专项施工方案的，专项施工方案应当由总承包单位技术负责人及分包单位技术负责人共同审核签字并加盖单位公章。</w:t>
            </w:r>
          </w:p>
          <w:p w14:paraId="14F0F72C">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第三十二条　施工单位未按照本规定编制并审核危大工程专项施工方案的，依照《建设工程安全生产管理条例》对单位进行处罚，并暂扣安全生产许可证30日；对直接负责的主管人员和其他直接责任人员处1000元以上5000元以下的罚款。</w:t>
            </w:r>
          </w:p>
        </w:tc>
        <w:tc>
          <w:tcPr>
            <w:tcW w:w="992" w:type="dxa"/>
            <w:vMerge w:val="restart"/>
            <w:vAlign w:val="center"/>
          </w:tcPr>
          <w:p w14:paraId="602F217C">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现场检查、书面检查</w:t>
            </w:r>
          </w:p>
        </w:tc>
        <w:tc>
          <w:tcPr>
            <w:tcW w:w="1139" w:type="dxa"/>
            <w:vMerge w:val="restart"/>
            <w:vAlign w:val="center"/>
          </w:tcPr>
          <w:p w14:paraId="5FFBC9E1">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双随机+重点检查</w:t>
            </w:r>
          </w:p>
        </w:tc>
        <w:tc>
          <w:tcPr>
            <w:tcW w:w="1491" w:type="dxa"/>
            <w:vAlign w:val="center"/>
          </w:tcPr>
          <w:p w14:paraId="33D7050B">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320217253000</w:t>
            </w:r>
          </w:p>
        </w:tc>
        <w:tc>
          <w:tcPr>
            <w:tcW w:w="1481" w:type="dxa"/>
            <w:vAlign w:val="center"/>
          </w:tcPr>
          <w:p w14:paraId="1C6D30C3">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对施工单位在施工组织设计中未编制安全技术措施、施工现场临时用电方案或者专项施工方案的处罚</w:t>
            </w:r>
          </w:p>
        </w:tc>
        <w:tc>
          <w:tcPr>
            <w:tcW w:w="622" w:type="dxa"/>
            <w:vAlign w:val="center"/>
          </w:tcPr>
          <w:p w14:paraId="49F01155">
            <w:pPr>
              <w:widowControl/>
              <w:autoSpaceDE w:val="0"/>
              <w:autoSpaceDN w:val="0"/>
              <w:spacing w:line="280" w:lineRule="exact"/>
              <w:jc w:val="left"/>
              <w:rPr>
                <w:rFonts w:ascii="Times New Roman" w:hAnsi="Times New Roman" w:eastAsia="仿宋_GB2312" w:cs="方正仿宋_GBK"/>
                <w:color w:val="auto"/>
                <w:szCs w:val="21"/>
              </w:rPr>
            </w:pPr>
          </w:p>
        </w:tc>
      </w:tr>
      <w:tr w14:paraId="1B25B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6" w:type="dxa"/>
            <w:vMerge w:val="continue"/>
            <w:vAlign w:val="center"/>
          </w:tcPr>
          <w:p w14:paraId="158AAA1B">
            <w:pPr>
              <w:widowControl/>
              <w:autoSpaceDE w:val="0"/>
              <w:autoSpaceDN w:val="0"/>
              <w:spacing w:line="280" w:lineRule="exact"/>
              <w:jc w:val="left"/>
              <w:rPr>
                <w:rFonts w:ascii="Times New Roman" w:hAnsi="Times New Roman" w:eastAsia="仿宋_GB2312" w:cs="方正仿宋_GBK"/>
                <w:color w:val="auto"/>
                <w:szCs w:val="21"/>
              </w:rPr>
            </w:pPr>
          </w:p>
        </w:tc>
        <w:tc>
          <w:tcPr>
            <w:tcW w:w="1324" w:type="dxa"/>
            <w:vMerge w:val="continue"/>
            <w:vAlign w:val="center"/>
          </w:tcPr>
          <w:p w14:paraId="1755377E">
            <w:pPr>
              <w:widowControl/>
              <w:autoSpaceDE w:val="0"/>
              <w:autoSpaceDN w:val="0"/>
              <w:spacing w:line="280" w:lineRule="exact"/>
              <w:jc w:val="left"/>
              <w:rPr>
                <w:rFonts w:ascii="Times New Roman" w:hAnsi="Times New Roman" w:eastAsia="仿宋_GB2312" w:cs="方正仿宋_GBK"/>
                <w:color w:val="auto"/>
                <w:szCs w:val="21"/>
              </w:rPr>
            </w:pPr>
          </w:p>
        </w:tc>
        <w:tc>
          <w:tcPr>
            <w:tcW w:w="794" w:type="dxa"/>
            <w:vMerge w:val="continue"/>
            <w:vAlign w:val="center"/>
          </w:tcPr>
          <w:p w14:paraId="709BDE65">
            <w:pPr>
              <w:widowControl/>
              <w:autoSpaceDE w:val="0"/>
              <w:autoSpaceDN w:val="0"/>
              <w:spacing w:line="280" w:lineRule="exact"/>
              <w:jc w:val="left"/>
              <w:rPr>
                <w:rFonts w:ascii="Times New Roman" w:hAnsi="Times New Roman" w:eastAsia="仿宋_GB2312" w:cs="方正仿宋_GBK"/>
                <w:color w:val="auto"/>
                <w:szCs w:val="21"/>
              </w:rPr>
            </w:pPr>
          </w:p>
        </w:tc>
        <w:tc>
          <w:tcPr>
            <w:tcW w:w="872" w:type="dxa"/>
            <w:vMerge w:val="continue"/>
            <w:vAlign w:val="center"/>
          </w:tcPr>
          <w:p w14:paraId="3EED452D">
            <w:pPr>
              <w:widowControl/>
              <w:autoSpaceDE w:val="0"/>
              <w:autoSpaceDN w:val="0"/>
              <w:spacing w:line="280" w:lineRule="exact"/>
              <w:jc w:val="left"/>
              <w:rPr>
                <w:rFonts w:ascii="Times New Roman" w:hAnsi="Times New Roman" w:eastAsia="仿宋_GB2312" w:cs="方正仿宋_GBK"/>
                <w:color w:val="auto"/>
                <w:szCs w:val="21"/>
              </w:rPr>
            </w:pPr>
          </w:p>
        </w:tc>
        <w:tc>
          <w:tcPr>
            <w:tcW w:w="869" w:type="dxa"/>
            <w:vMerge w:val="continue"/>
            <w:vAlign w:val="center"/>
          </w:tcPr>
          <w:p w14:paraId="3CBE8008">
            <w:pPr>
              <w:widowControl/>
              <w:autoSpaceDE w:val="0"/>
              <w:autoSpaceDN w:val="0"/>
              <w:spacing w:line="280" w:lineRule="exact"/>
              <w:jc w:val="left"/>
              <w:rPr>
                <w:rFonts w:ascii="Times New Roman" w:hAnsi="Times New Roman" w:eastAsia="仿宋_GB2312" w:cs="方正仿宋_GBK"/>
                <w:color w:val="auto"/>
                <w:szCs w:val="21"/>
              </w:rPr>
            </w:pPr>
          </w:p>
        </w:tc>
        <w:tc>
          <w:tcPr>
            <w:tcW w:w="4962" w:type="dxa"/>
            <w:vAlign w:val="center"/>
          </w:tcPr>
          <w:p w14:paraId="73054D2F">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【法律】《中华人民共和国安全生产法》</w:t>
            </w:r>
          </w:p>
          <w:p w14:paraId="303F9356">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第四十五条　生产经营单位必须为从业人员提供符合国家标准或者行业标准的劳动防护用品，并监督、教育从业人员按照使用规则佩戴、使用。</w:t>
            </w:r>
          </w:p>
          <w:p w14:paraId="1C4DA356">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第九十九条　生产经营单位有下列行为之一的，责令限期改正，处五万元以下的罚款；逾期未改正的，处五万元以上二十万元以下的罚款，对其直接负责的主管人员和其他直接责任人员处一万元以上二万元</w:t>
            </w:r>
          </w:p>
        </w:tc>
        <w:tc>
          <w:tcPr>
            <w:tcW w:w="992" w:type="dxa"/>
            <w:vMerge w:val="continue"/>
            <w:vAlign w:val="center"/>
          </w:tcPr>
          <w:p w14:paraId="2B74BA49">
            <w:pPr>
              <w:widowControl/>
              <w:autoSpaceDE w:val="0"/>
              <w:autoSpaceDN w:val="0"/>
              <w:spacing w:line="280" w:lineRule="exact"/>
              <w:jc w:val="left"/>
              <w:rPr>
                <w:rFonts w:ascii="Times New Roman" w:hAnsi="Times New Roman" w:eastAsia="仿宋_GB2312" w:cs="方正仿宋_GBK"/>
                <w:color w:val="auto"/>
                <w:szCs w:val="21"/>
              </w:rPr>
            </w:pPr>
          </w:p>
        </w:tc>
        <w:tc>
          <w:tcPr>
            <w:tcW w:w="1139" w:type="dxa"/>
            <w:vMerge w:val="continue"/>
            <w:vAlign w:val="center"/>
          </w:tcPr>
          <w:p w14:paraId="11879EC9">
            <w:pPr>
              <w:widowControl/>
              <w:autoSpaceDE w:val="0"/>
              <w:autoSpaceDN w:val="0"/>
              <w:spacing w:line="280" w:lineRule="exact"/>
              <w:jc w:val="left"/>
              <w:rPr>
                <w:rFonts w:ascii="Times New Roman" w:hAnsi="Times New Roman" w:eastAsia="仿宋_GB2312" w:cs="方正仿宋_GBK"/>
                <w:color w:val="auto"/>
                <w:szCs w:val="21"/>
              </w:rPr>
            </w:pPr>
          </w:p>
        </w:tc>
        <w:tc>
          <w:tcPr>
            <w:tcW w:w="1491" w:type="dxa"/>
            <w:vAlign w:val="center"/>
          </w:tcPr>
          <w:p w14:paraId="4135C02B">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320217233000</w:t>
            </w:r>
          </w:p>
        </w:tc>
        <w:tc>
          <w:tcPr>
            <w:tcW w:w="1481" w:type="dxa"/>
            <w:vAlign w:val="center"/>
          </w:tcPr>
          <w:p w14:paraId="0461728E">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对施工单位未向作业人员提供安全防护用具和安全防护服装的处罚</w:t>
            </w:r>
          </w:p>
        </w:tc>
        <w:tc>
          <w:tcPr>
            <w:tcW w:w="622" w:type="dxa"/>
            <w:vAlign w:val="center"/>
          </w:tcPr>
          <w:p w14:paraId="0E9EB06B">
            <w:pPr>
              <w:widowControl/>
              <w:autoSpaceDE w:val="0"/>
              <w:autoSpaceDN w:val="0"/>
              <w:spacing w:line="280" w:lineRule="exact"/>
              <w:jc w:val="left"/>
              <w:rPr>
                <w:rFonts w:ascii="Times New Roman" w:hAnsi="Times New Roman" w:eastAsia="仿宋_GB2312" w:cs="方正仿宋_GBK"/>
                <w:color w:val="auto"/>
                <w:szCs w:val="21"/>
              </w:rPr>
            </w:pPr>
          </w:p>
        </w:tc>
      </w:tr>
      <w:tr w14:paraId="3D60D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47" w:hRule="atLeast"/>
          <w:jc w:val="center"/>
        </w:trPr>
        <w:tc>
          <w:tcPr>
            <w:tcW w:w="536" w:type="dxa"/>
            <w:vAlign w:val="center"/>
          </w:tcPr>
          <w:p w14:paraId="7E6E8079">
            <w:pPr>
              <w:autoSpaceDE w:val="0"/>
              <w:autoSpaceDN w:val="0"/>
              <w:spacing w:line="280" w:lineRule="exact"/>
              <w:jc w:val="center"/>
              <w:rPr>
                <w:rFonts w:hint="default" w:ascii="Times New Roman" w:hAnsi="Times New Roman" w:eastAsia="仿宋_GB2312" w:cs="方正仿宋_GBK"/>
                <w:color w:val="auto"/>
                <w:szCs w:val="21"/>
                <w:lang w:val="en-US" w:eastAsia="zh-CN"/>
              </w:rPr>
            </w:pPr>
            <w:r>
              <w:rPr>
                <w:rFonts w:hint="eastAsia" w:ascii="Times New Roman" w:hAnsi="Times New Roman" w:eastAsia="仿宋_GB2312" w:cs="方正仿宋_GBK"/>
                <w:color w:val="auto"/>
                <w:szCs w:val="21"/>
                <w:lang w:val="en-US" w:eastAsia="zh-CN"/>
              </w:rPr>
              <w:t>15</w:t>
            </w:r>
          </w:p>
        </w:tc>
        <w:tc>
          <w:tcPr>
            <w:tcW w:w="1324" w:type="dxa"/>
            <w:vAlign w:val="center"/>
          </w:tcPr>
          <w:p w14:paraId="62418B89">
            <w:pPr>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对房屋市政工程质量、安全及文明施工情况的行政检查</w:t>
            </w:r>
          </w:p>
        </w:tc>
        <w:tc>
          <w:tcPr>
            <w:tcW w:w="794" w:type="dxa"/>
            <w:vAlign w:val="center"/>
          </w:tcPr>
          <w:p w14:paraId="6AA6DAF0">
            <w:pPr>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苏州市相城区住房和城乡建设局</w:t>
            </w:r>
          </w:p>
        </w:tc>
        <w:tc>
          <w:tcPr>
            <w:tcW w:w="872" w:type="dxa"/>
            <w:vAlign w:val="center"/>
          </w:tcPr>
          <w:p w14:paraId="5D2593CB">
            <w:pPr>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相城区建设工程质量安全监督中心</w:t>
            </w:r>
          </w:p>
        </w:tc>
        <w:tc>
          <w:tcPr>
            <w:tcW w:w="869" w:type="dxa"/>
            <w:vAlign w:val="center"/>
          </w:tcPr>
          <w:p w14:paraId="594F2187">
            <w:pPr>
              <w:widowControl/>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施工</w:t>
            </w:r>
          </w:p>
          <w:p w14:paraId="4733605D">
            <w:pPr>
              <w:widowControl/>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单位</w:t>
            </w:r>
          </w:p>
        </w:tc>
        <w:tc>
          <w:tcPr>
            <w:tcW w:w="4962" w:type="dxa"/>
            <w:vAlign w:val="center"/>
          </w:tcPr>
          <w:p w14:paraId="71317868">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以下的罚款；情节严重的，责令停产停业整顿；构成犯罪的，依照刑法有关规定追究刑事责任：</w:t>
            </w:r>
          </w:p>
          <w:p w14:paraId="58DD05CB">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（五）未为从业人员提供符合国家标准或者行业标准的劳动防护用品的；</w:t>
            </w:r>
          </w:p>
          <w:p w14:paraId="575275D2">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第一百一十二条  生产经营单位违反本法规定，被责令改正且受到罚款处罚，拒不改正的，负有安全生产监督管理职责的部门可以自作出责令改正之日的次日起，按照原处罚数额按日连续处罚。</w:t>
            </w:r>
          </w:p>
          <w:p w14:paraId="647C3598">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【行政法规】《建设工程安全生产管理条例》</w:t>
            </w:r>
          </w:p>
          <w:p w14:paraId="3D562C08">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第三十二条第一款　施工单位应当向作业人员提供安全防护用具和安全防护服装，并书面告知危险岗位的操作规程和违章操作的危害。</w:t>
            </w:r>
          </w:p>
          <w:p w14:paraId="33683C5B">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第六十二条　违反本条例的规定，施工单位有下列行为之一的，责令限期改正；逾期未改正的，责令停业整顿，依照《中华人民共和国安全生产法》的有关规定处以罚款；造成重大安全事故，构成犯罪的，对直接责任人员，依照刑法有关规定追究刑事责任：</w:t>
            </w:r>
          </w:p>
          <w:p w14:paraId="78356BBA">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（四）未向作业人员提供安全防护用具和安全防护服装的。</w:t>
            </w:r>
          </w:p>
          <w:p w14:paraId="0AEF89F1">
            <w:pPr>
              <w:widowControl/>
              <w:autoSpaceDE w:val="0"/>
              <w:autoSpaceDN w:val="0"/>
              <w:spacing w:line="280" w:lineRule="exact"/>
              <w:ind w:firstLine="420" w:firstLineChars="200"/>
              <w:jc w:val="left"/>
              <w:rPr>
                <w:rFonts w:hint="eastAsia" w:ascii="Times New Roman" w:hAnsi="Times New Roman" w:eastAsia="仿宋_GB2312" w:cs="方正仿宋_GBK"/>
                <w:color w:val="auto"/>
                <w:szCs w:val="21"/>
                <w:lang w:eastAsia="zh-CN"/>
              </w:rPr>
            </w:pPr>
            <w:r>
              <w:rPr>
                <w:rFonts w:hint="eastAsia" w:ascii="Times New Roman" w:hAnsi="Times New Roman" w:eastAsia="仿宋_GB2312" w:cs="方正仿宋_GBK"/>
                <w:color w:val="auto"/>
                <w:szCs w:val="21"/>
              </w:rPr>
              <w:t>第六十八条　本条例规定的行政处罚，由建设行政主管部门或者其他有关部门依照法定职权决定。</w:t>
            </w:r>
          </w:p>
          <w:p w14:paraId="1DB4AFF3">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违反消防安全管理规定的行为，由公安消防机构依法处罚。</w:t>
            </w:r>
          </w:p>
          <w:p w14:paraId="6B68C5D7">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有关法律、行政法规对建设工程安全生产违法行为的行政处罚决定机关另有规定的，从其规定。</w:t>
            </w:r>
          </w:p>
        </w:tc>
        <w:tc>
          <w:tcPr>
            <w:tcW w:w="992" w:type="dxa"/>
            <w:vAlign w:val="center"/>
          </w:tcPr>
          <w:p w14:paraId="0F48A7D0">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现场检查、书面检查</w:t>
            </w:r>
          </w:p>
        </w:tc>
        <w:tc>
          <w:tcPr>
            <w:tcW w:w="1139" w:type="dxa"/>
            <w:vAlign w:val="center"/>
          </w:tcPr>
          <w:p w14:paraId="76A9115D">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双随机+重点检查</w:t>
            </w:r>
          </w:p>
        </w:tc>
        <w:tc>
          <w:tcPr>
            <w:tcW w:w="1491" w:type="dxa"/>
            <w:vAlign w:val="center"/>
          </w:tcPr>
          <w:p w14:paraId="0347F673">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320217233000</w:t>
            </w:r>
          </w:p>
        </w:tc>
        <w:tc>
          <w:tcPr>
            <w:tcW w:w="1481" w:type="dxa"/>
            <w:vAlign w:val="center"/>
          </w:tcPr>
          <w:p w14:paraId="018066DF">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对施工单位未向作业人员提供安全防护用具和安全防护服装的处罚</w:t>
            </w:r>
          </w:p>
        </w:tc>
        <w:tc>
          <w:tcPr>
            <w:tcW w:w="622" w:type="dxa"/>
            <w:vAlign w:val="center"/>
          </w:tcPr>
          <w:p w14:paraId="59AAE1F0">
            <w:pPr>
              <w:widowControl/>
              <w:autoSpaceDE w:val="0"/>
              <w:autoSpaceDN w:val="0"/>
              <w:spacing w:line="280" w:lineRule="exact"/>
              <w:jc w:val="left"/>
              <w:rPr>
                <w:rFonts w:ascii="Times New Roman" w:hAnsi="Times New Roman" w:eastAsia="仿宋_GB2312" w:cs="方正仿宋_GBK"/>
                <w:color w:val="auto"/>
                <w:szCs w:val="21"/>
              </w:rPr>
            </w:pPr>
          </w:p>
        </w:tc>
      </w:tr>
      <w:tr w14:paraId="71B985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6" w:type="dxa"/>
            <w:vMerge w:val="restart"/>
            <w:vAlign w:val="center"/>
          </w:tcPr>
          <w:p w14:paraId="1759D198">
            <w:pPr>
              <w:autoSpaceDE w:val="0"/>
              <w:autoSpaceDN w:val="0"/>
              <w:spacing w:line="280" w:lineRule="exact"/>
              <w:jc w:val="center"/>
              <w:rPr>
                <w:rFonts w:hint="default" w:ascii="Times New Roman" w:hAnsi="Times New Roman" w:eastAsia="仿宋_GB2312" w:cs="方正仿宋_GBK"/>
                <w:color w:val="auto"/>
                <w:szCs w:val="21"/>
                <w:lang w:val="en-US" w:eastAsia="zh-CN"/>
              </w:rPr>
            </w:pPr>
            <w:r>
              <w:rPr>
                <w:rFonts w:hint="eastAsia" w:ascii="Times New Roman" w:hAnsi="Times New Roman" w:eastAsia="仿宋_GB2312" w:cs="方正仿宋_GBK"/>
                <w:color w:val="auto"/>
                <w:szCs w:val="21"/>
                <w:lang w:val="en-US" w:eastAsia="zh-CN"/>
              </w:rPr>
              <w:t>15</w:t>
            </w:r>
          </w:p>
        </w:tc>
        <w:tc>
          <w:tcPr>
            <w:tcW w:w="1324" w:type="dxa"/>
            <w:vMerge w:val="restart"/>
            <w:vAlign w:val="center"/>
          </w:tcPr>
          <w:p w14:paraId="361001C4">
            <w:pPr>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对房屋市政工程质量、安全及文明施工情况的行政检查</w:t>
            </w:r>
          </w:p>
        </w:tc>
        <w:tc>
          <w:tcPr>
            <w:tcW w:w="794" w:type="dxa"/>
            <w:vMerge w:val="restart"/>
            <w:vAlign w:val="center"/>
          </w:tcPr>
          <w:p w14:paraId="1D6C6179">
            <w:pPr>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苏州市相城区住房和城乡建设局</w:t>
            </w:r>
          </w:p>
        </w:tc>
        <w:tc>
          <w:tcPr>
            <w:tcW w:w="872" w:type="dxa"/>
            <w:vMerge w:val="restart"/>
            <w:vAlign w:val="center"/>
          </w:tcPr>
          <w:p w14:paraId="264704C1">
            <w:pPr>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相城区建设工程质量安全监督中心</w:t>
            </w:r>
          </w:p>
        </w:tc>
        <w:tc>
          <w:tcPr>
            <w:tcW w:w="869" w:type="dxa"/>
            <w:vAlign w:val="center"/>
          </w:tcPr>
          <w:p w14:paraId="7714ED6D">
            <w:pPr>
              <w:widowControl/>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施工</w:t>
            </w:r>
          </w:p>
          <w:p w14:paraId="57872E55">
            <w:pPr>
              <w:widowControl/>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单位</w:t>
            </w:r>
          </w:p>
        </w:tc>
        <w:tc>
          <w:tcPr>
            <w:tcW w:w="4962" w:type="dxa"/>
            <w:vAlign w:val="center"/>
          </w:tcPr>
          <w:p w14:paraId="0A047D8B">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【行政法规】《建设工程安全生产管理条例》</w:t>
            </w:r>
          </w:p>
          <w:p w14:paraId="4B19A5A1">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第二十九条第二款  施工现场临时搭建的建筑物应当符合安全使用要求。施工现场使用的装配式活动房屋应当具有产品合格证。</w:t>
            </w:r>
          </w:p>
          <w:p w14:paraId="7999A1A7">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第六十四条第一款　违反本条例的规定，施工单位有下列行为之一的，责令限期改正；逾期未改正的，责令停业整顿，并处5万元以上10万元以下的罚款；造成重大安全事故，构成犯罪的，对直接责任人员，依照刑法有关规定追究刑事责任：</w:t>
            </w:r>
          </w:p>
          <w:p w14:paraId="7E27B545">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（四）施工现场临时搭建的建筑物不符合安全使用要求的。</w:t>
            </w:r>
          </w:p>
          <w:p w14:paraId="44DF5212">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第六十八条　本条例规定的行政处罚，由建设行政主管部门或者其他有关部门依照法定职权决定。违反消防安全管理规定的行为，由公安消防机构依法处罚。有关法律、行政法规对建设工程安全生产违法行为的行政处罚决定机关另有规定的，从其规定。</w:t>
            </w:r>
          </w:p>
        </w:tc>
        <w:tc>
          <w:tcPr>
            <w:tcW w:w="992" w:type="dxa"/>
            <w:vMerge w:val="restart"/>
            <w:vAlign w:val="center"/>
          </w:tcPr>
          <w:p w14:paraId="636FC159">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现场检查、书面检查</w:t>
            </w:r>
          </w:p>
        </w:tc>
        <w:tc>
          <w:tcPr>
            <w:tcW w:w="1139" w:type="dxa"/>
            <w:vMerge w:val="restart"/>
            <w:vAlign w:val="center"/>
          </w:tcPr>
          <w:p w14:paraId="675FF404">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双随机+重点检查</w:t>
            </w:r>
          </w:p>
        </w:tc>
        <w:tc>
          <w:tcPr>
            <w:tcW w:w="1491" w:type="dxa"/>
            <w:vAlign w:val="center"/>
          </w:tcPr>
          <w:p w14:paraId="4EAB5198">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320217220000</w:t>
            </w:r>
          </w:p>
        </w:tc>
        <w:tc>
          <w:tcPr>
            <w:tcW w:w="1481" w:type="dxa"/>
            <w:vAlign w:val="center"/>
          </w:tcPr>
          <w:p w14:paraId="090A9379">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对施工单位施工现场临时搭建的建筑物不符合安全使用要求的处罚</w:t>
            </w:r>
          </w:p>
        </w:tc>
        <w:tc>
          <w:tcPr>
            <w:tcW w:w="622" w:type="dxa"/>
            <w:vAlign w:val="center"/>
          </w:tcPr>
          <w:p w14:paraId="0970ED91">
            <w:pPr>
              <w:widowControl/>
              <w:autoSpaceDE w:val="0"/>
              <w:autoSpaceDN w:val="0"/>
              <w:spacing w:line="280" w:lineRule="exact"/>
              <w:jc w:val="left"/>
              <w:rPr>
                <w:rFonts w:ascii="Times New Roman" w:hAnsi="Times New Roman" w:eastAsia="仿宋_GB2312" w:cs="方正仿宋_GBK"/>
                <w:color w:val="auto"/>
                <w:szCs w:val="21"/>
              </w:rPr>
            </w:pPr>
          </w:p>
        </w:tc>
      </w:tr>
      <w:tr w14:paraId="31BDC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6" w:type="dxa"/>
            <w:vMerge w:val="continue"/>
            <w:vAlign w:val="center"/>
          </w:tcPr>
          <w:p w14:paraId="08E64E6C">
            <w:pPr>
              <w:widowControl/>
              <w:autoSpaceDE w:val="0"/>
              <w:autoSpaceDN w:val="0"/>
              <w:spacing w:line="280" w:lineRule="exact"/>
              <w:jc w:val="left"/>
              <w:rPr>
                <w:rFonts w:ascii="Times New Roman" w:hAnsi="Times New Roman" w:eastAsia="仿宋_GB2312" w:cs="方正仿宋_GBK"/>
                <w:color w:val="auto"/>
                <w:szCs w:val="21"/>
              </w:rPr>
            </w:pPr>
          </w:p>
        </w:tc>
        <w:tc>
          <w:tcPr>
            <w:tcW w:w="1324" w:type="dxa"/>
            <w:vMerge w:val="continue"/>
            <w:vAlign w:val="center"/>
          </w:tcPr>
          <w:p w14:paraId="541BC76E">
            <w:pPr>
              <w:widowControl/>
              <w:autoSpaceDE w:val="0"/>
              <w:autoSpaceDN w:val="0"/>
              <w:spacing w:line="280" w:lineRule="exact"/>
              <w:jc w:val="left"/>
              <w:rPr>
                <w:rFonts w:ascii="Times New Roman" w:hAnsi="Times New Roman" w:eastAsia="仿宋_GB2312" w:cs="方正仿宋_GBK"/>
                <w:color w:val="auto"/>
                <w:szCs w:val="21"/>
              </w:rPr>
            </w:pPr>
          </w:p>
        </w:tc>
        <w:tc>
          <w:tcPr>
            <w:tcW w:w="794" w:type="dxa"/>
            <w:vMerge w:val="continue"/>
            <w:vAlign w:val="center"/>
          </w:tcPr>
          <w:p w14:paraId="6537AE95">
            <w:pPr>
              <w:widowControl/>
              <w:autoSpaceDE w:val="0"/>
              <w:autoSpaceDN w:val="0"/>
              <w:spacing w:line="280" w:lineRule="exact"/>
              <w:jc w:val="left"/>
              <w:rPr>
                <w:rFonts w:ascii="Times New Roman" w:hAnsi="Times New Roman" w:eastAsia="仿宋_GB2312" w:cs="方正仿宋_GBK"/>
                <w:color w:val="auto"/>
                <w:szCs w:val="21"/>
              </w:rPr>
            </w:pPr>
          </w:p>
        </w:tc>
        <w:tc>
          <w:tcPr>
            <w:tcW w:w="872" w:type="dxa"/>
            <w:vMerge w:val="continue"/>
            <w:vAlign w:val="center"/>
          </w:tcPr>
          <w:p w14:paraId="583C60DC">
            <w:pPr>
              <w:widowControl/>
              <w:autoSpaceDE w:val="0"/>
              <w:autoSpaceDN w:val="0"/>
              <w:spacing w:line="280" w:lineRule="exact"/>
              <w:jc w:val="left"/>
              <w:rPr>
                <w:rFonts w:ascii="Times New Roman" w:hAnsi="Times New Roman" w:eastAsia="仿宋_GB2312" w:cs="方正仿宋_GBK"/>
                <w:color w:val="auto"/>
                <w:szCs w:val="21"/>
              </w:rPr>
            </w:pPr>
          </w:p>
        </w:tc>
        <w:tc>
          <w:tcPr>
            <w:tcW w:w="869" w:type="dxa"/>
            <w:vAlign w:val="center"/>
          </w:tcPr>
          <w:p w14:paraId="3922DE22">
            <w:pPr>
              <w:widowControl/>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监理</w:t>
            </w:r>
          </w:p>
          <w:p w14:paraId="4980B388">
            <w:pPr>
              <w:widowControl/>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单位</w:t>
            </w:r>
          </w:p>
        </w:tc>
        <w:tc>
          <w:tcPr>
            <w:tcW w:w="4962" w:type="dxa"/>
            <w:vAlign w:val="center"/>
          </w:tcPr>
          <w:p w14:paraId="4CDE2694">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【行政法规】《建设工程质量管理条例》</w:t>
            </w:r>
          </w:p>
          <w:p w14:paraId="7AA9F6F9">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第三十六条　工程监理单位应当依照法律、法规以及有关技术标准、设计文件和建设工程承包合同，代表建设单位对施工质量实施监理，并对施工质量承担监理责任。</w:t>
            </w:r>
          </w:p>
          <w:p w14:paraId="69DA403C">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第六十七条　工程监理单位有下列行为之一的，责令改正，处50万元以上100万元以下的罚款，降低资质等级或者吊销资质证书；有违法所得的，予以没收；造成损失的，承担连带赔偿责任：</w:t>
            </w:r>
          </w:p>
          <w:p w14:paraId="195E256A">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（一）与建设单位或者施工单位串通，弄虚作假，降低工程质量的。</w:t>
            </w:r>
          </w:p>
        </w:tc>
        <w:tc>
          <w:tcPr>
            <w:tcW w:w="992" w:type="dxa"/>
            <w:vMerge w:val="continue"/>
            <w:vAlign w:val="center"/>
          </w:tcPr>
          <w:p w14:paraId="17ED2E94">
            <w:pPr>
              <w:widowControl/>
              <w:autoSpaceDE w:val="0"/>
              <w:autoSpaceDN w:val="0"/>
              <w:spacing w:line="280" w:lineRule="exact"/>
              <w:jc w:val="left"/>
              <w:rPr>
                <w:rFonts w:ascii="Times New Roman" w:hAnsi="Times New Roman" w:eastAsia="仿宋_GB2312" w:cs="方正仿宋_GBK"/>
                <w:color w:val="auto"/>
                <w:szCs w:val="21"/>
              </w:rPr>
            </w:pPr>
          </w:p>
        </w:tc>
        <w:tc>
          <w:tcPr>
            <w:tcW w:w="1139" w:type="dxa"/>
            <w:vMerge w:val="continue"/>
            <w:vAlign w:val="center"/>
          </w:tcPr>
          <w:p w14:paraId="2D0F2802">
            <w:pPr>
              <w:widowControl/>
              <w:autoSpaceDE w:val="0"/>
              <w:autoSpaceDN w:val="0"/>
              <w:spacing w:line="280" w:lineRule="exact"/>
              <w:jc w:val="left"/>
              <w:rPr>
                <w:rFonts w:ascii="Times New Roman" w:hAnsi="Times New Roman" w:eastAsia="仿宋_GB2312" w:cs="方正仿宋_GBK"/>
                <w:color w:val="auto"/>
                <w:szCs w:val="21"/>
              </w:rPr>
            </w:pPr>
          </w:p>
        </w:tc>
        <w:tc>
          <w:tcPr>
            <w:tcW w:w="1491" w:type="dxa"/>
            <w:vAlign w:val="center"/>
          </w:tcPr>
          <w:p w14:paraId="6B7144F0">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320217212000</w:t>
            </w:r>
          </w:p>
        </w:tc>
        <w:tc>
          <w:tcPr>
            <w:tcW w:w="1481" w:type="dxa"/>
            <w:vAlign w:val="center"/>
          </w:tcPr>
          <w:p w14:paraId="11463233">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对工程监理单位与建设单位或者建筑施工企业串通，弄虚作假、降低工程质量的处罚</w:t>
            </w:r>
          </w:p>
        </w:tc>
        <w:tc>
          <w:tcPr>
            <w:tcW w:w="622" w:type="dxa"/>
            <w:vAlign w:val="center"/>
          </w:tcPr>
          <w:p w14:paraId="7D0E276F">
            <w:pPr>
              <w:widowControl/>
              <w:autoSpaceDE w:val="0"/>
              <w:autoSpaceDN w:val="0"/>
              <w:spacing w:line="280" w:lineRule="exact"/>
              <w:jc w:val="left"/>
              <w:rPr>
                <w:rFonts w:ascii="Times New Roman" w:hAnsi="Times New Roman" w:eastAsia="仿宋_GB2312" w:cs="方正仿宋_GBK"/>
                <w:color w:val="auto"/>
                <w:szCs w:val="21"/>
              </w:rPr>
            </w:pPr>
          </w:p>
        </w:tc>
      </w:tr>
      <w:tr w14:paraId="57CCC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7" w:hRule="atLeast"/>
          <w:jc w:val="center"/>
        </w:trPr>
        <w:tc>
          <w:tcPr>
            <w:tcW w:w="536" w:type="dxa"/>
            <w:vMerge w:val="restart"/>
            <w:vAlign w:val="center"/>
          </w:tcPr>
          <w:p w14:paraId="1B6643AB">
            <w:pPr>
              <w:autoSpaceDE w:val="0"/>
              <w:autoSpaceDN w:val="0"/>
              <w:spacing w:line="280" w:lineRule="exact"/>
              <w:jc w:val="center"/>
              <w:rPr>
                <w:rFonts w:hint="default" w:ascii="Times New Roman" w:hAnsi="Times New Roman" w:eastAsia="仿宋_GB2312" w:cs="方正仿宋_GBK"/>
                <w:color w:val="auto"/>
                <w:szCs w:val="21"/>
                <w:lang w:val="en-US" w:eastAsia="zh-CN"/>
              </w:rPr>
            </w:pPr>
            <w:r>
              <w:rPr>
                <w:rFonts w:hint="eastAsia" w:ascii="Times New Roman" w:hAnsi="Times New Roman" w:eastAsia="仿宋_GB2312" w:cs="方正仿宋_GBK"/>
                <w:color w:val="auto"/>
                <w:szCs w:val="21"/>
                <w:lang w:val="en-US" w:eastAsia="zh-CN"/>
              </w:rPr>
              <w:t>15</w:t>
            </w:r>
          </w:p>
        </w:tc>
        <w:tc>
          <w:tcPr>
            <w:tcW w:w="1324" w:type="dxa"/>
            <w:vMerge w:val="restart"/>
            <w:vAlign w:val="center"/>
          </w:tcPr>
          <w:p w14:paraId="4AE092E0">
            <w:pPr>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对房屋市政工程质量、安全及文明施工情况的行政检查</w:t>
            </w:r>
          </w:p>
        </w:tc>
        <w:tc>
          <w:tcPr>
            <w:tcW w:w="794" w:type="dxa"/>
            <w:vMerge w:val="restart"/>
            <w:vAlign w:val="center"/>
          </w:tcPr>
          <w:p w14:paraId="35EFFAA0">
            <w:pPr>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苏州市相城区住房和城乡建设局</w:t>
            </w:r>
          </w:p>
        </w:tc>
        <w:tc>
          <w:tcPr>
            <w:tcW w:w="872" w:type="dxa"/>
            <w:vMerge w:val="restart"/>
            <w:vAlign w:val="center"/>
          </w:tcPr>
          <w:p w14:paraId="470B73B4">
            <w:pPr>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相城区建设工程质量安全监督中心</w:t>
            </w:r>
          </w:p>
        </w:tc>
        <w:tc>
          <w:tcPr>
            <w:tcW w:w="869" w:type="dxa"/>
            <w:vAlign w:val="center"/>
          </w:tcPr>
          <w:p w14:paraId="1DE46762">
            <w:pPr>
              <w:widowControl/>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监理</w:t>
            </w:r>
          </w:p>
          <w:p w14:paraId="51BCD872">
            <w:pPr>
              <w:widowControl/>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单位</w:t>
            </w:r>
          </w:p>
        </w:tc>
        <w:tc>
          <w:tcPr>
            <w:tcW w:w="4962" w:type="dxa"/>
            <w:vAlign w:val="center"/>
          </w:tcPr>
          <w:p w14:paraId="15EF170B">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第七十三条  依照本条例规定，给予单位罚款处罚的，对单位直接负责的主管人员和其他直接责任人员处单位罚款数额5％以上10％以下的罚款。</w:t>
            </w:r>
          </w:p>
          <w:p w14:paraId="1AEF2F25">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第七十五条第一款  本条例规定的责令停业整顿、降低资质等级和吊销资质证书的行政处罚，由颁发资质证书的机关决定；其他行政处罚，由建设行政主管部门或者其他有关部门依照法定职权决定。</w:t>
            </w:r>
          </w:p>
        </w:tc>
        <w:tc>
          <w:tcPr>
            <w:tcW w:w="992" w:type="dxa"/>
            <w:vMerge w:val="restart"/>
            <w:vAlign w:val="center"/>
          </w:tcPr>
          <w:p w14:paraId="5E02756F">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现场检查、书面检查</w:t>
            </w:r>
          </w:p>
        </w:tc>
        <w:tc>
          <w:tcPr>
            <w:tcW w:w="1139" w:type="dxa"/>
            <w:vMerge w:val="restart"/>
            <w:vAlign w:val="center"/>
          </w:tcPr>
          <w:p w14:paraId="606B5D1B">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双随机+重点检查</w:t>
            </w:r>
          </w:p>
        </w:tc>
        <w:tc>
          <w:tcPr>
            <w:tcW w:w="1491" w:type="dxa"/>
            <w:vAlign w:val="center"/>
          </w:tcPr>
          <w:p w14:paraId="0B6F7ECB">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320217212000</w:t>
            </w:r>
          </w:p>
        </w:tc>
        <w:tc>
          <w:tcPr>
            <w:tcW w:w="1481" w:type="dxa"/>
            <w:vAlign w:val="center"/>
          </w:tcPr>
          <w:p w14:paraId="08498F81">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对工程监理单位与建设单位或者建筑施工企业串通，弄虚作假、降低工程质量的处罚</w:t>
            </w:r>
          </w:p>
        </w:tc>
        <w:tc>
          <w:tcPr>
            <w:tcW w:w="622" w:type="dxa"/>
            <w:vAlign w:val="center"/>
          </w:tcPr>
          <w:p w14:paraId="3292989D">
            <w:pPr>
              <w:widowControl/>
              <w:autoSpaceDE w:val="0"/>
              <w:autoSpaceDN w:val="0"/>
              <w:spacing w:line="280" w:lineRule="exact"/>
              <w:jc w:val="left"/>
              <w:rPr>
                <w:rFonts w:ascii="Times New Roman" w:hAnsi="Times New Roman" w:eastAsia="仿宋_GB2312" w:cs="方正仿宋_GBK"/>
                <w:color w:val="auto"/>
                <w:szCs w:val="21"/>
              </w:rPr>
            </w:pPr>
          </w:p>
        </w:tc>
      </w:tr>
      <w:tr w14:paraId="239CD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0" w:hRule="atLeast"/>
          <w:jc w:val="center"/>
        </w:trPr>
        <w:tc>
          <w:tcPr>
            <w:tcW w:w="536" w:type="dxa"/>
            <w:vMerge w:val="continue"/>
            <w:vAlign w:val="center"/>
          </w:tcPr>
          <w:p w14:paraId="32F1878F">
            <w:pPr>
              <w:widowControl/>
              <w:autoSpaceDE w:val="0"/>
              <w:autoSpaceDN w:val="0"/>
              <w:spacing w:line="280" w:lineRule="exact"/>
              <w:jc w:val="left"/>
              <w:rPr>
                <w:rFonts w:ascii="Times New Roman" w:hAnsi="Times New Roman" w:eastAsia="仿宋_GB2312" w:cs="方正仿宋_GBK"/>
                <w:color w:val="auto"/>
                <w:szCs w:val="21"/>
              </w:rPr>
            </w:pPr>
          </w:p>
        </w:tc>
        <w:tc>
          <w:tcPr>
            <w:tcW w:w="1324" w:type="dxa"/>
            <w:vMerge w:val="continue"/>
            <w:vAlign w:val="center"/>
          </w:tcPr>
          <w:p w14:paraId="6AF12278">
            <w:pPr>
              <w:widowControl/>
              <w:autoSpaceDE w:val="0"/>
              <w:autoSpaceDN w:val="0"/>
              <w:spacing w:line="280" w:lineRule="exact"/>
              <w:jc w:val="left"/>
              <w:rPr>
                <w:rFonts w:ascii="Times New Roman" w:hAnsi="Times New Roman" w:eastAsia="仿宋_GB2312" w:cs="方正仿宋_GBK"/>
                <w:color w:val="auto"/>
                <w:szCs w:val="21"/>
              </w:rPr>
            </w:pPr>
          </w:p>
        </w:tc>
        <w:tc>
          <w:tcPr>
            <w:tcW w:w="794" w:type="dxa"/>
            <w:vMerge w:val="continue"/>
            <w:vAlign w:val="center"/>
          </w:tcPr>
          <w:p w14:paraId="1739907C">
            <w:pPr>
              <w:widowControl/>
              <w:autoSpaceDE w:val="0"/>
              <w:autoSpaceDN w:val="0"/>
              <w:spacing w:line="280" w:lineRule="exact"/>
              <w:jc w:val="left"/>
              <w:rPr>
                <w:rFonts w:ascii="Times New Roman" w:hAnsi="Times New Roman" w:eastAsia="仿宋_GB2312" w:cs="方正仿宋_GBK"/>
                <w:color w:val="auto"/>
                <w:szCs w:val="21"/>
              </w:rPr>
            </w:pPr>
          </w:p>
        </w:tc>
        <w:tc>
          <w:tcPr>
            <w:tcW w:w="872" w:type="dxa"/>
            <w:vMerge w:val="continue"/>
            <w:vAlign w:val="center"/>
          </w:tcPr>
          <w:p w14:paraId="0E4C8E98">
            <w:pPr>
              <w:widowControl/>
              <w:autoSpaceDE w:val="0"/>
              <w:autoSpaceDN w:val="0"/>
              <w:spacing w:line="280" w:lineRule="exact"/>
              <w:jc w:val="left"/>
              <w:rPr>
                <w:rFonts w:ascii="Times New Roman" w:hAnsi="Times New Roman" w:eastAsia="仿宋_GB2312" w:cs="方正仿宋_GBK"/>
                <w:color w:val="auto"/>
                <w:szCs w:val="21"/>
              </w:rPr>
            </w:pPr>
          </w:p>
        </w:tc>
        <w:tc>
          <w:tcPr>
            <w:tcW w:w="869" w:type="dxa"/>
            <w:vAlign w:val="center"/>
          </w:tcPr>
          <w:p w14:paraId="333CB517">
            <w:pPr>
              <w:widowControl/>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施工</w:t>
            </w:r>
          </w:p>
          <w:p w14:paraId="280ECBD6">
            <w:pPr>
              <w:widowControl/>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单位</w:t>
            </w:r>
          </w:p>
        </w:tc>
        <w:tc>
          <w:tcPr>
            <w:tcW w:w="4962" w:type="dxa"/>
            <w:vAlign w:val="center"/>
          </w:tcPr>
          <w:p w14:paraId="282F883C">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【行政法规】《建设工程安全生产管理条例》</w:t>
            </w:r>
          </w:p>
          <w:p w14:paraId="178F878F">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第三十四条第一款　施工单位采购、租赁的安全防护用具、机械设备、施工机具及配件，应当具有生产（制造）许可证、产品合格证，并在进入施工现场前进行查验。</w:t>
            </w:r>
          </w:p>
          <w:p w14:paraId="2209D9CD">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第六十五条　违反本条例的规定，施工单位有下列行为之一的，责令限期改正；逾期未改正的，责令停业整顿，并处10万元以上30万元以下的罚款；情节严重的，降低资质等级，直至吊销资质证书；造成重大安全事故，构成犯罪的，对直接责任人员，依照刑法有关规定追究刑事责任；造成损失的，依法承担赔偿责任：</w:t>
            </w:r>
          </w:p>
          <w:p w14:paraId="156503FC">
            <w:pPr>
              <w:widowControl/>
              <w:autoSpaceDE w:val="0"/>
              <w:autoSpaceDN w:val="0"/>
              <w:spacing w:line="280" w:lineRule="exact"/>
              <w:ind w:firstLine="420" w:firstLineChars="200"/>
              <w:jc w:val="left"/>
              <w:rPr>
                <w:rFonts w:hint="eastAsia" w:ascii="Times New Roman" w:hAnsi="Times New Roman" w:eastAsia="仿宋_GB2312" w:cs="方正仿宋_GBK"/>
                <w:color w:val="auto"/>
                <w:szCs w:val="21"/>
                <w:lang w:eastAsia="zh-CN"/>
              </w:rPr>
            </w:pPr>
            <w:r>
              <w:rPr>
                <w:rFonts w:hint="eastAsia" w:ascii="Times New Roman" w:hAnsi="Times New Roman" w:eastAsia="仿宋_GB2312" w:cs="方正仿宋_GBK"/>
                <w:color w:val="auto"/>
                <w:szCs w:val="21"/>
              </w:rPr>
              <w:t>（二）使用未经验收或者验收不合格的施工起重机械和整体提升脚手架、模板等自升式架设设施的；</w:t>
            </w:r>
          </w:p>
          <w:p w14:paraId="2294808D">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第六十八条　本条例规定的行政处罚，由建设行政主管部门或者其他有关部门依照法定职权决定。违反消防安全管理规定的行为，由公安消防机构依法处罚。有关法律、行政法规对建设工程安全生产违法行为的行政处罚决定机关另有规定的，从其规定。</w:t>
            </w:r>
          </w:p>
        </w:tc>
        <w:tc>
          <w:tcPr>
            <w:tcW w:w="992" w:type="dxa"/>
            <w:vMerge w:val="continue"/>
            <w:vAlign w:val="center"/>
          </w:tcPr>
          <w:p w14:paraId="294B1A04">
            <w:pPr>
              <w:widowControl/>
              <w:autoSpaceDE w:val="0"/>
              <w:autoSpaceDN w:val="0"/>
              <w:spacing w:line="280" w:lineRule="exact"/>
              <w:jc w:val="left"/>
              <w:rPr>
                <w:rFonts w:ascii="Times New Roman" w:hAnsi="Times New Roman" w:eastAsia="仿宋_GB2312" w:cs="方正仿宋_GBK"/>
                <w:color w:val="auto"/>
                <w:szCs w:val="21"/>
              </w:rPr>
            </w:pPr>
          </w:p>
        </w:tc>
        <w:tc>
          <w:tcPr>
            <w:tcW w:w="1139" w:type="dxa"/>
            <w:vMerge w:val="continue"/>
            <w:vAlign w:val="center"/>
          </w:tcPr>
          <w:p w14:paraId="4295FFE2">
            <w:pPr>
              <w:widowControl/>
              <w:autoSpaceDE w:val="0"/>
              <w:autoSpaceDN w:val="0"/>
              <w:spacing w:line="280" w:lineRule="exact"/>
              <w:jc w:val="left"/>
              <w:rPr>
                <w:rFonts w:ascii="Times New Roman" w:hAnsi="Times New Roman" w:eastAsia="仿宋_GB2312" w:cs="方正仿宋_GBK"/>
                <w:color w:val="auto"/>
                <w:szCs w:val="21"/>
              </w:rPr>
            </w:pPr>
          </w:p>
        </w:tc>
        <w:tc>
          <w:tcPr>
            <w:tcW w:w="1491" w:type="dxa"/>
            <w:vAlign w:val="center"/>
          </w:tcPr>
          <w:p w14:paraId="5569F098">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320217205000</w:t>
            </w:r>
          </w:p>
        </w:tc>
        <w:tc>
          <w:tcPr>
            <w:tcW w:w="1481" w:type="dxa"/>
            <w:vAlign w:val="center"/>
          </w:tcPr>
          <w:p w14:paraId="71CE99D4">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对施工单位使用未经验收或者验收不合格的施工起重机械和整体提升脚手架、模板等自升式架设设施的处罚</w:t>
            </w:r>
          </w:p>
        </w:tc>
        <w:tc>
          <w:tcPr>
            <w:tcW w:w="622" w:type="dxa"/>
            <w:vAlign w:val="center"/>
          </w:tcPr>
          <w:p w14:paraId="421E5DDB">
            <w:pPr>
              <w:widowControl/>
              <w:autoSpaceDE w:val="0"/>
              <w:autoSpaceDN w:val="0"/>
              <w:spacing w:line="280" w:lineRule="exact"/>
              <w:jc w:val="left"/>
              <w:rPr>
                <w:rFonts w:ascii="Times New Roman" w:hAnsi="Times New Roman" w:eastAsia="仿宋_GB2312" w:cs="方正仿宋_GBK"/>
                <w:color w:val="auto"/>
                <w:szCs w:val="21"/>
              </w:rPr>
            </w:pPr>
          </w:p>
        </w:tc>
      </w:tr>
      <w:tr w14:paraId="4B88A9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6" w:type="dxa"/>
            <w:vMerge w:val="restart"/>
            <w:vAlign w:val="center"/>
          </w:tcPr>
          <w:p w14:paraId="3E8D78CC">
            <w:pPr>
              <w:autoSpaceDE w:val="0"/>
              <w:autoSpaceDN w:val="0"/>
              <w:spacing w:line="280" w:lineRule="exact"/>
              <w:jc w:val="center"/>
              <w:rPr>
                <w:rFonts w:hint="default" w:ascii="Times New Roman" w:hAnsi="Times New Roman" w:eastAsia="仿宋_GB2312" w:cs="方正仿宋_GBK"/>
                <w:color w:val="auto"/>
                <w:szCs w:val="21"/>
                <w:lang w:val="en-US" w:eastAsia="zh-CN"/>
              </w:rPr>
            </w:pPr>
            <w:r>
              <w:rPr>
                <w:rFonts w:hint="eastAsia" w:ascii="Times New Roman" w:hAnsi="Times New Roman" w:eastAsia="仿宋_GB2312" w:cs="方正仿宋_GBK"/>
                <w:color w:val="auto"/>
                <w:szCs w:val="21"/>
                <w:lang w:val="en-US" w:eastAsia="zh-CN"/>
              </w:rPr>
              <w:t>15</w:t>
            </w:r>
          </w:p>
        </w:tc>
        <w:tc>
          <w:tcPr>
            <w:tcW w:w="1324" w:type="dxa"/>
            <w:vMerge w:val="restart"/>
            <w:vAlign w:val="center"/>
          </w:tcPr>
          <w:p w14:paraId="46D88B41">
            <w:pPr>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对房屋市政工程质量、安全及文明施工情况的行政检查</w:t>
            </w:r>
          </w:p>
        </w:tc>
        <w:tc>
          <w:tcPr>
            <w:tcW w:w="794" w:type="dxa"/>
            <w:vMerge w:val="restart"/>
            <w:vAlign w:val="center"/>
          </w:tcPr>
          <w:p w14:paraId="0BB713CC">
            <w:pPr>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苏州市相城区住房和城乡建设局</w:t>
            </w:r>
          </w:p>
        </w:tc>
        <w:tc>
          <w:tcPr>
            <w:tcW w:w="872" w:type="dxa"/>
            <w:vMerge w:val="restart"/>
            <w:vAlign w:val="center"/>
          </w:tcPr>
          <w:p w14:paraId="675A3C65">
            <w:pPr>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相城区建设工程质量安全监督中心</w:t>
            </w:r>
          </w:p>
        </w:tc>
        <w:tc>
          <w:tcPr>
            <w:tcW w:w="869" w:type="dxa"/>
            <w:vMerge w:val="restart"/>
            <w:vAlign w:val="center"/>
          </w:tcPr>
          <w:p w14:paraId="6DFF2425">
            <w:pPr>
              <w:widowControl/>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施工</w:t>
            </w:r>
          </w:p>
          <w:p w14:paraId="2B1E75C3">
            <w:pPr>
              <w:widowControl/>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单位</w:t>
            </w:r>
          </w:p>
        </w:tc>
        <w:tc>
          <w:tcPr>
            <w:tcW w:w="4962" w:type="dxa"/>
            <w:vAlign w:val="center"/>
          </w:tcPr>
          <w:p w14:paraId="0FBA271D">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【行政法规】《建设工程安全生产管理条例》</w:t>
            </w:r>
          </w:p>
          <w:p w14:paraId="6A87AA6E">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第三十四条第一款　施工单位采购、租赁的安全防护用具、机械设备、施工机具及配件，应当具有生产（制造）许可证、产品合格证，并在进入施工现场前进行查验。</w:t>
            </w:r>
          </w:p>
          <w:p w14:paraId="65A57AD9">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第六十五条　违反本条例的规定，施工单位有下列行为之一的，责令限期改正；逾期未改正的，责令停业整顿，并处10万元以上30万元以下的罚款；情节严重的，降低资质等级，直至吊销资质证书；造成重大安全事故，构成犯罪的，对直接责任人员，依照刑法有关规定追究刑事责任；造成损失的，依法承担赔偿责任：</w:t>
            </w:r>
          </w:p>
          <w:p w14:paraId="1E060156">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（一）安全防护用具、机械设备、施工机具及配件在进入施工现场前未经查验或者查验不合格即投入使用的；</w:t>
            </w:r>
          </w:p>
          <w:p w14:paraId="75F04862">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第六十八条　本条例规定的行政处罚，由建设行政主管部门或者其他有关部门依照法定职权决定。违反消防安全管理规定的行为，由公安消防机构依法处罚。有关法律、行政法规对建设工程安全生产违法行为的行政处罚决定机关另有规定的，从其规定。</w:t>
            </w:r>
          </w:p>
        </w:tc>
        <w:tc>
          <w:tcPr>
            <w:tcW w:w="992" w:type="dxa"/>
            <w:vMerge w:val="restart"/>
            <w:vAlign w:val="center"/>
          </w:tcPr>
          <w:p w14:paraId="3B8D5081">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现场检查、书面检查</w:t>
            </w:r>
          </w:p>
        </w:tc>
        <w:tc>
          <w:tcPr>
            <w:tcW w:w="1139" w:type="dxa"/>
            <w:vMerge w:val="restart"/>
            <w:vAlign w:val="center"/>
          </w:tcPr>
          <w:p w14:paraId="72299280">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双随机+重点检查</w:t>
            </w:r>
          </w:p>
        </w:tc>
        <w:tc>
          <w:tcPr>
            <w:tcW w:w="1491" w:type="dxa"/>
            <w:vAlign w:val="center"/>
          </w:tcPr>
          <w:p w14:paraId="704067D0">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320217204000</w:t>
            </w:r>
          </w:p>
        </w:tc>
        <w:tc>
          <w:tcPr>
            <w:tcW w:w="1481" w:type="dxa"/>
            <w:vAlign w:val="center"/>
          </w:tcPr>
          <w:p w14:paraId="41E547E3">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对安全防护用具、机械设备、施工机具及配件在进入施工现场前未经查验或者查验不合格即投入使用的处罚</w:t>
            </w:r>
          </w:p>
        </w:tc>
        <w:tc>
          <w:tcPr>
            <w:tcW w:w="622" w:type="dxa"/>
            <w:vAlign w:val="center"/>
          </w:tcPr>
          <w:p w14:paraId="6B0B1EF7">
            <w:pPr>
              <w:widowControl/>
              <w:autoSpaceDE w:val="0"/>
              <w:autoSpaceDN w:val="0"/>
              <w:spacing w:line="280" w:lineRule="exact"/>
              <w:jc w:val="left"/>
              <w:rPr>
                <w:rFonts w:ascii="Times New Roman" w:hAnsi="Times New Roman" w:eastAsia="仿宋_GB2312" w:cs="方正仿宋_GBK"/>
                <w:color w:val="auto"/>
                <w:szCs w:val="21"/>
              </w:rPr>
            </w:pPr>
          </w:p>
        </w:tc>
      </w:tr>
      <w:tr w14:paraId="12FD3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6" w:type="dxa"/>
            <w:vMerge w:val="continue"/>
            <w:vAlign w:val="center"/>
          </w:tcPr>
          <w:p w14:paraId="4257D7B8">
            <w:pPr>
              <w:widowControl/>
              <w:autoSpaceDE w:val="0"/>
              <w:autoSpaceDN w:val="0"/>
              <w:spacing w:line="280" w:lineRule="exact"/>
              <w:jc w:val="left"/>
              <w:rPr>
                <w:rFonts w:ascii="Times New Roman" w:hAnsi="Times New Roman" w:eastAsia="仿宋_GB2312" w:cs="方正仿宋_GBK"/>
                <w:color w:val="auto"/>
                <w:szCs w:val="21"/>
              </w:rPr>
            </w:pPr>
          </w:p>
        </w:tc>
        <w:tc>
          <w:tcPr>
            <w:tcW w:w="1324" w:type="dxa"/>
            <w:vMerge w:val="continue"/>
            <w:vAlign w:val="center"/>
          </w:tcPr>
          <w:p w14:paraId="201DFEDD">
            <w:pPr>
              <w:widowControl/>
              <w:autoSpaceDE w:val="0"/>
              <w:autoSpaceDN w:val="0"/>
              <w:spacing w:line="280" w:lineRule="exact"/>
              <w:jc w:val="left"/>
              <w:rPr>
                <w:rFonts w:ascii="Times New Roman" w:hAnsi="Times New Roman" w:eastAsia="仿宋_GB2312" w:cs="方正仿宋_GBK"/>
                <w:color w:val="auto"/>
                <w:szCs w:val="21"/>
              </w:rPr>
            </w:pPr>
          </w:p>
        </w:tc>
        <w:tc>
          <w:tcPr>
            <w:tcW w:w="794" w:type="dxa"/>
            <w:vMerge w:val="continue"/>
            <w:vAlign w:val="center"/>
          </w:tcPr>
          <w:p w14:paraId="583656EF">
            <w:pPr>
              <w:widowControl/>
              <w:autoSpaceDE w:val="0"/>
              <w:autoSpaceDN w:val="0"/>
              <w:spacing w:line="280" w:lineRule="exact"/>
              <w:jc w:val="left"/>
              <w:rPr>
                <w:rFonts w:ascii="Times New Roman" w:hAnsi="Times New Roman" w:eastAsia="仿宋_GB2312" w:cs="方正仿宋_GBK"/>
                <w:color w:val="auto"/>
                <w:szCs w:val="21"/>
              </w:rPr>
            </w:pPr>
          </w:p>
        </w:tc>
        <w:tc>
          <w:tcPr>
            <w:tcW w:w="872" w:type="dxa"/>
            <w:vMerge w:val="continue"/>
            <w:vAlign w:val="center"/>
          </w:tcPr>
          <w:p w14:paraId="398A4D15">
            <w:pPr>
              <w:widowControl/>
              <w:autoSpaceDE w:val="0"/>
              <w:autoSpaceDN w:val="0"/>
              <w:spacing w:line="280" w:lineRule="exact"/>
              <w:jc w:val="left"/>
              <w:rPr>
                <w:rFonts w:ascii="Times New Roman" w:hAnsi="Times New Roman" w:eastAsia="仿宋_GB2312" w:cs="方正仿宋_GBK"/>
                <w:color w:val="auto"/>
                <w:szCs w:val="21"/>
              </w:rPr>
            </w:pPr>
          </w:p>
        </w:tc>
        <w:tc>
          <w:tcPr>
            <w:tcW w:w="869" w:type="dxa"/>
            <w:vMerge w:val="continue"/>
            <w:vAlign w:val="center"/>
          </w:tcPr>
          <w:p w14:paraId="18B8AA9F">
            <w:pPr>
              <w:widowControl/>
              <w:autoSpaceDE w:val="0"/>
              <w:autoSpaceDN w:val="0"/>
              <w:spacing w:line="280" w:lineRule="exact"/>
              <w:jc w:val="center"/>
              <w:rPr>
                <w:rFonts w:ascii="Times New Roman" w:hAnsi="Times New Roman" w:eastAsia="仿宋_GB2312" w:cs="方正仿宋_GBK"/>
                <w:color w:val="auto"/>
                <w:szCs w:val="21"/>
              </w:rPr>
            </w:pPr>
          </w:p>
        </w:tc>
        <w:tc>
          <w:tcPr>
            <w:tcW w:w="4962" w:type="dxa"/>
            <w:vAlign w:val="center"/>
          </w:tcPr>
          <w:p w14:paraId="02A82923">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【行政法规】《建设工程安全生产管理条例》</w:t>
            </w:r>
          </w:p>
          <w:p w14:paraId="3CEF46A5">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第三十条第一款　施工单位对因建设工程施工可能造成损害的毗邻建筑物、构筑物和地下管线等，应当采取专项防护措施。</w:t>
            </w:r>
          </w:p>
          <w:p w14:paraId="15DEEBF5">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第六十四条　违反本条例的规定，施工单位有下列行为之一的，责令限期改正；逾期未改正的，责令停业整顿，并处5万元以上10万元以下的罚款；造成</w:t>
            </w:r>
          </w:p>
        </w:tc>
        <w:tc>
          <w:tcPr>
            <w:tcW w:w="992" w:type="dxa"/>
            <w:vMerge w:val="continue"/>
            <w:vAlign w:val="center"/>
          </w:tcPr>
          <w:p w14:paraId="6DD7F61E">
            <w:pPr>
              <w:widowControl/>
              <w:autoSpaceDE w:val="0"/>
              <w:autoSpaceDN w:val="0"/>
              <w:spacing w:line="280" w:lineRule="exact"/>
              <w:jc w:val="left"/>
              <w:rPr>
                <w:rFonts w:ascii="Times New Roman" w:hAnsi="Times New Roman" w:eastAsia="仿宋_GB2312" w:cs="方正仿宋_GBK"/>
                <w:color w:val="auto"/>
                <w:szCs w:val="21"/>
              </w:rPr>
            </w:pPr>
          </w:p>
        </w:tc>
        <w:tc>
          <w:tcPr>
            <w:tcW w:w="1139" w:type="dxa"/>
            <w:vMerge w:val="continue"/>
            <w:vAlign w:val="center"/>
          </w:tcPr>
          <w:p w14:paraId="57CFB414">
            <w:pPr>
              <w:widowControl/>
              <w:autoSpaceDE w:val="0"/>
              <w:autoSpaceDN w:val="0"/>
              <w:spacing w:line="280" w:lineRule="exact"/>
              <w:jc w:val="left"/>
              <w:rPr>
                <w:rFonts w:ascii="Times New Roman" w:hAnsi="Times New Roman" w:eastAsia="仿宋_GB2312" w:cs="方正仿宋_GBK"/>
                <w:color w:val="auto"/>
                <w:szCs w:val="21"/>
              </w:rPr>
            </w:pPr>
          </w:p>
        </w:tc>
        <w:tc>
          <w:tcPr>
            <w:tcW w:w="1491" w:type="dxa"/>
            <w:vAlign w:val="center"/>
          </w:tcPr>
          <w:p w14:paraId="6E7F6EAA">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320217203000</w:t>
            </w:r>
          </w:p>
        </w:tc>
        <w:tc>
          <w:tcPr>
            <w:tcW w:w="1481" w:type="dxa"/>
            <w:vAlign w:val="center"/>
          </w:tcPr>
          <w:p w14:paraId="5659E3DB">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对施工单位未对因建设工程施工可能造成损害的毗邻建筑物、构筑物和地下管线等采取专项防护措施的处罚</w:t>
            </w:r>
          </w:p>
        </w:tc>
        <w:tc>
          <w:tcPr>
            <w:tcW w:w="622" w:type="dxa"/>
            <w:vAlign w:val="center"/>
          </w:tcPr>
          <w:p w14:paraId="25CFC6D9">
            <w:pPr>
              <w:widowControl/>
              <w:autoSpaceDE w:val="0"/>
              <w:autoSpaceDN w:val="0"/>
              <w:spacing w:line="280" w:lineRule="exact"/>
              <w:jc w:val="left"/>
              <w:rPr>
                <w:rFonts w:ascii="Times New Roman" w:hAnsi="Times New Roman" w:eastAsia="仿宋_GB2312" w:cs="方正仿宋_GBK"/>
                <w:color w:val="auto"/>
                <w:szCs w:val="21"/>
              </w:rPr>
            </w:pPr>
          </w:p>
        </w:tc>
      </w:tr>
      <w:tr w14:paraId="2ABA18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0" w:hRule="atLeast"/>
          <w:jc w:val="center"/>
        </w:trPr>
        <w:tc>
          <w:tcPr>
            <w:tcW w:w="536" w:type="dxa"/>
            <w:vMerge w:val="restart"/>
            <w:vAlign w:val="center"/>
          </w:tcPr>
          <w:p w14:paraId="3E223788">
            <w:pPr>
              <w:autoSpaceDE w:val="0"/>
              <w:autoSpaceDN w:val="0"/>
              <w:spacing w:line="280" w:lineRule="exact"/>
              <w:jc w:val="center"/>
              <w:rPr>
                <w:rFonts w:hint="default" w:ascii="Times New Roman" w:hAnsi="Times New Roman" w:eastAsia="仿宋_GB2312" w:cs="方正仿宋_GBK"/>
                <w:color w:val="auto"/>
                <w:szCs w:val="21"/>
                <w:lang w:val="en-US" w:eastAsia="zh-CN"/>
              </w:rPr>
            </w:pPr>
            <w:r>
              <w:rPr>
                <w:rFonts w:hint="eastAsia" w:ascii="Times New Roman" w:hAnsi="Times New Roman" w:eastAsia="仿宋_GB2312" w:cs="方正仿宋_GBK"/>
                <w:color w:val="auto"/>
                <w:szCs w:val="21"/>
                <w:lang w:val="en-US" w:eastAsia="zh-CN"/>
              </w:rPr>
              <w:t>15</w:t>
            </w:r>
          </w:p>
        </w:tc>
        <w:tc>
          <w:tcPr>
            <w:tcW w:w="1324" w:type="dxa"/>
            <w:vMerge w:val="restart"/>
            <w:vAlign w:val="center"/>
          </w:tcPr>
          <w:p w14:paraId="223E3F94">
            <w:pPr>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对房屋市政工程质量、安全及文明施工情况的行政检查</w:t>
            </w:r>
          </w:p>
        </w:tc>
        <w:tc>
          <w:tcPr>
            <w:tcW w:w="794" w:type="dxa"/>
            <w:vMerge w:val="restart"/>
            <w:vAlign w:val="center"/>
          </w:tcPr>
          <w:p w14:paraId="745A585D">
            <w:pPr>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苏州市相城区住房和城乡建设局</w:t>
            </w:r>
          </w:p>
        </w:tc>
        <w:tc>
          <w:tcPr>
            <w:tcW w:w="872" w:type="dxa"/>
            <w:vMerge w:val="restart"/>
            <w:vAlign w:val="center"/>
          </w:tcPr>
          <w:p w14:paraId="3F9F2EF8">
            <w:pPr>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相城区建设工程质量安全监督中心</w:t>
            </w:r>
          </w:p>
        </w:tc>
        <w:tc>
          <w:tcPr>
            <w:tcW w:w="869" w:type="dxa"/>
            <w:vAlign w:val="center"/>
          </w:tcPr>
          <w:p w14:paraId="5B2A43BE">
            <w:pPr>
              <w:widowControl/>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施工</w:t>
            </w:r>
          </w:p>
          <w:p w14:paraId="32B2A81C">
            <w:pPr>
              <w:widowControl/>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单位</w:t>
            </w:r>
          </w:p>
        </w:tc>
        <w:tc>
          <w:tcPr>
            <w:tcW w:w="4962" w:type="dxa"/>
            <w:vAlign w:val="center"/>
          </w:tcPr>
          <w:p w14:paraId="5BEC42DC">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重大安全事故，构成犯罪的，对直接责任人员，依照刑法有关规定追究刑事责任：</w:t>
            </w:r>
          </w:p>
          <w:p w14:paraId="2004F3CD">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（五）未对因建设工程施工可能造成损害的毗邻建筑物、构筑物和地下管线等采取专项防护措施的。</w:t>
            </w:r>
          </w:p>
          <w:p w14:paraId="619B155D">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施工单位有前款规定第（四）项、第（五）项行为，造成损失的，依法承担赔偿责任。</w:t>
            </w:r>
          </w:p>
          <w:p w14:paraId="04E7B5B5">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第六十八条　本条例规定的行政处罚，由建设行政主管部门或者其他有关部门依照法定职权决定。违反消防安全管理规定的行为，由公安消防机构依法处罚。有关法律、行政法规对建设工程安全生产违法行为的行政处罚决定机关另有规定的，从其规定。</w:t>
            </w:r>
          </w:p>
        </w:tc>
        <w:tc>
          <w:tcPr>
            <w:tcW w:w="992" w:type="dxa"/>
            <w:vMerge w:val="restart"/>
            <w:vAlign w:val="center"/>
          </w:tcPr>
          <w:p w14:paraId="20EBE724">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现场检查、书面检查</w:t>
            </w:r>
          </w:p>
        </w:tc>
        <w:tc>
          <w:tcPr>
            <w:tcW w:w="1139" w:type="dxa"/>
            <w:vMerge w:val="restart"/>
            <w:vAlign w:val="center"/>
          </w:tcPr>
          <w:p w14:paraId="75114F14">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双随机+重点检查</w:t>
            </w:r>
          </w:p>
        </w:tc>
        <w:tc>
          <w:tcPr>
            <w:tcW w:w="1491" w:type="dxa"/>
            <w:vAlign w:val="center"/>
          </w:tcPr>
          <w:p w14:paraId="67B19C3B">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320217203000</w:t>
            </w:r>
          </w:p>
        </w:tc>
        <w:tc>
          <w:tcPr>
            <w:tcW w:w="1481" w:type="dxa"/>
            <w:vAlign w:val="center"/>
          </w:tcPr>
          <w:p w14:paraId="12CBD723">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对施工单位未对因建设工程施工可能造成损害的毗邻建筑物、构筑物和地下管线等采取专项防护措施的处罚</w:t>
            </w:r>
          </w:p>
        </w:tc>
        <w:tc>
          <w:tcPr>
            <w:tcW w:w="622" w:type="dxa"/>
            <w:vAlign w:val="center"/>
          </w:tcPr>
          <w:p w14:paraId="43EA1CFB">
            <w:pPr>
              <w:widowControl/>
              <w:autoSpaceDE w:val="0"/>
              <w:autoSpaceDN w:val="0"/>
              <w:spacing w:line="280" w:lineRule="exact"/>
              <w:jc w:val="left"/>
              <w:rPr>
                <w:rFonts w:ascii="Times New Roman" w:hAnsi="Times New Roman" w:eastAsia="仿宋_GB2312" w:cs="方正仿宋_GBK"/>
                <w:color w:val="auto"/>
                <w:szCs w:val="21"/>
              </w:rPr>
            </w:pPr>
          </w:p>
        </w:tc>
      </w:tr>
      <w:tr w14:paraId="675A2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3" w:hRule="atLeast"/>
          <w:jc w:val="center"/>
        </w:trPr>
        <w:tc>
          <w:tcPr>
            <w:tcW w:w="536" w:type="dxa"/>
            <w:vMerge w:val="continue"/>
            <w:vAlign w:val="center"/>
          </w:tcPr>
          <w:p w14:paraId="4953B838">
            <w:pPr>
              <w:widowControl/>
              <w:autoSpaceDE w:val="0"/>
              <w:autoSpaceDN w:val="0"/>
              <w:spacing w:line="280" w:lineRule="exact"/>
              <w:jc w:val="left"/>
              <w:rPr>
                <w:rFonts w:ascii="Times New Roman" w:hAnsi="Times New Roman" w:eastAsia="仿宋_GB2312" w:cs="方正仿宋_GBK"/>
                <w:color w:val="auto"/>
                <w:szCs w:val="21"/>
              </w:rPr>
            </w:pPr>
          </w:p>
        </w:tc>
        <w:tc>
          <w:tcPr>
            <w:tcW w:w="1324" w:type="dxa"/>
            <w:vMerge w:val="continue"/>
            <w:vAlign w:val="center"/>
          </w:tcPr>
          <w:p w14:paraId="617FE8B7">
            <w:pPr>
              <w:widowControl/>
              <w:autoSpaceDE w:val="0"/>
              <w:autoSpaceDN w:val="0"/>
              <w:spacing w:line="280" w:lineRule="exact"/>
              <w:jc w:val="left"/>
              <w:rPr>
                <w:rFonts w:ascii="Times New Roman" w:hAnsi="Times New Roman" w:eastAsia="仿宋_GB2312" w:cs="方正仿宋_GBK"/>
                <w:color w:val="auto"/>
                <w:szCs w:val="21"/>
              </w:rPr>
            </w:pPr>
          </w:p>
        </w:tc>
        <w:tc>
          <w:tcPr>
            <w:tcW w:w="794" w:type="dxa"/>
            <w:vMerge w:val="continue"/>
            <w:vAlign w:val="center"/>
          </w:tcPr>
          <w:p w14:paraId="6BFB75E5">
            <w:pPr>
              <w:widowControl/>
              <w:autoSpaceDE w:val="0"/>
              <w:autoSpaceDN w:val="0"/>
              <w:spacing w:line="280" w:lineRule="exact"/>
              <w:jc w:val="left"/>
              <w:rPr>
                <w:rFonts w:ascii="Times New Roman" w:hAnsi="Times New Roman" w:eastAsia="仿宋_GB2312" w:cs="方正仿宋_GBK"/>
                <w:color w:val="auto"/>
                <w:szCs w:val="21"/>
              </w:rPr>
            </w:pPr>
          </w:p>
        </w:tc>
        <w:tc>
          <w:tcPr>
            <w:tcW w:w="872" w:type="dxa"/>
            <w:vMerge w:val="continue"/>
            <w:vAlign w:val="center"/>
          </w:tcPr>
          <w:p w14:paraId="1E17185C">
            <w:pPr>
              <w:widowControl/>
              <w:autoSpaceDE w:val="0"/>
              <w:autoSpaceDN w:val="0"/>
              <w:spacing w:line="280" w:lineRule="exact"/>
              <w:jc w:val="left"/>
              <w:rPr>
                <w:rFonts w:ascii="Times New Roman" w:hAnsi="Times New Roman" w:eastAsia="仿宋_GB2312" w:cs="方正仿宋_GBK"/>
                <w:color w:val="auto"/>
                <w:szCs w:val="21"/>
              </w:rPr>
            </w:pPr>
          </w:p>
        </w:tc>
        <w:tc>
          <w:tcPr>
            <w:tcW w:w="869" w:type="dxa"/>
            <w:vAlign w:val="center"/>
          </w:tcPr>
          <w:p w14:paraId="2F3B799F">
            <w:pPr>
              <w:widowControl/>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监理</w:t>
            </w:r>
          </w:p>
          <w:p w14:paraId="0D8296E5">
            <w:pPr>
              <w:widowControl/>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单位</w:t>
            </w:r>
          </w:p>
        </w:tc>
        <w:tc>
          <w:tcPr>
            <w:tcW w:w="4962" w:type="dxa"/>
            <w:vAlign w:val="center"/>
          </w:tcPr>
          <w:p w14:paraId="060137CE">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【行政法规】《民用建筑节能条例》</w:t>
            </w:r>
          </w:p>
          <w:p w14:paraId="4C5B076B">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第四十二条第二款　对不符合施工图设计文件要求的墙体材料、保温材料、门窗、采暖制冷系统和照明设备，按照符合施工图设计文件要求签字的，依照《建设工程质量管理条例》第六十七条的规定处罚。</w:t>
            </w:r>
          </w:p>
          <w:p w14:paraId="4BA4237F">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【行政法规】《建设工程质量管理条例》</w:t>
            </w:r>
          </w:p>
          <w:p w14:paraId="405A257F">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第六十七条　工程监理单位有下列行为之一的，责令改正，处50万元以上100万元以下的罚款，降低资质等级或者吊销资质证书；有违法所得的，予以没收；造成损失的，承担连带赔偿责任：</w:t>
            </w:r>
          </w:p>
          <w:p w14:paraId="04707232">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（二）将不合格的建设工程、建筑材料、建筑构配件和设备按照合格签字的。</w:t>
            </w:r>
          </w:p>
        </w:tc>
        <w:tc>
          <w:tcPr>
            <w:tcW w:w="992" w:type="dxa"/>
            <w:vMerge w:val="continue"/>
            <w:vAlign w:val="center"/>
          </w:tcPr>
          <w:p w14:paraId="27142AAA">
            <w:pPr>
              <w:widowControl/>
              <w:autoSpaceDE w:val="0"/>
              <w:autoSpaceDN w:val="0"/>
              <w:spacing w:line="280" w:lineRule="exact"/>
              <w:jc w:val="left"/>
              <w:rPr>
                <w:rFonts w:ascii="Times New Roman" w:hAnsi="Times New Roman" w:eastAsia="仿宋_GB2312" w:cs="方正仿宋_GBK"/>
                <w:color w:val="auto"/>
                <w:szCs w:val="21"/>
              </w:rPr>
            </w:pPr>
          </w:p>
        </w:tc>
        <w:tc>
          <w:tcPr>
            <w:tcW w:w="1139" w:type="dxa"/>
            <w:vMerge w:val="continue"/>
            <w:vAlign w:val="center"/>
          </w:tcPr>
          <w:p w14:paraId="627072EE">
            <w:pPr>
              <w:widowControl/>
              <w:autoSpaceDE w:val="0"/>
              <w:autoSpaceDN w:val="0"/>
              <w:spacing w:line="280" w:lineRule="exact"/>
              <w:jc w:val="left"/>
              <w:rPr>
                <w:rFonts w:ascii="Times New Roman" w:hAnsi="Times New Roman" w:eastAsia="仿宋_GB2312" w:cs="方正仿宋_GBK"/>
                <w:color w:val="auto"/>
                <w:szCs w:val="21"/>
              </w:rPr>
            </w:pPr>
          </w:p>
        </w:tc>
        <w:tc>
          <w:tcPr>
            <w:tcW w:w="1491" w:type="dxa"/>
            <w:vAlign w:val="center"/>
          </w:tcPr>
          <w:p w14:paraId="33447DB2">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320217201000</w:t>
            </w:r>
          </w:p>
        </w:tc>
        <w:tc>
          <w:tcPr>
            <w:tcW w:w="1481" w:type="dxa"/>
            <w:vAlign w:val="center"/>
          </w:tcPr>
          <w:p w14:paraId="75A03B35">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对工程监理单位对不符合施工图设计文件要求的墙体材料、保温材料、门窗、采暖制冷系统和照明设备，按照符合施工图设计文件要求签字的处罚</w:t>
            </w:r>
          </w:p>
        </w:tc>
        <w:tc>
          <w:tcPr>
            <w:tcW w:w="622" w:type="dxa"/>
            <w:vAlign w:val="center"/>
          </w:tcPr>
          <w:p w14:paraId="60489B52">
            <w:pPr>
              <w:widowControl/>
              <w:autoSpaceDE w:val="0"/>
              <w:autoSpaceDN w:val="0"/>
              <w:spacing w:line="280" w:lineRule="exact"/>
              <w:jc w:val="left"/>
              <w:rPr>
                <w:rFonts w:ascii="Times New Roman" w:hAnsi="Times New Roman" w:eastAsia="仿宋_GB2312" w:cs="方正仿宋_GBK"/>
                <w:color w:val="auto"/>
                <w:szCs w:val="21"/>
              </w:rPr>
            </w:pPr>
          </w:p>
        </w:tc>
      </w:tr>
      <w:tr w14:paraId="51579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6" w:type="dxa"/>
            <w:vMerge w:val="restart"/>
            <w:vAlign w:val="center"/>
          </w:tcPr>
          <w:p w14:paraId="49069B29">
            <w:pPr>
              <w:autoSpaceDE w:val="0"/>
              <w:autoSpaceDN w:val="0"/>
              <w:spacing w:line="280" w:lineRule="exact"/>
              <w:jc w:val="center"/>
              <w:rPr>
                <w:rFonts w:hint="default" w:ascii="Times New Roman" w:hAnsi="Times New Roman" w:eastAsia="仿宋_GB2312" w:cs="方正仿宋_GBK"/>
                <w:color w:val="auto"/>
                <w:szCs w:val="21"/>
                <w:lang w:val="en-US" w:eastAsia="zh-CN"/>
              </w:rPr>
            </w:pPr>
            <w:r>
              <w:rPr>
                <w:rFonts w:hint="eastAsia" w:ascii="Times New Roman" w:hAnsi="Times New Roman" w:eastAsia="仿宋_GB2312" w:cs="方正仿宋_GBK"/>
                <w:color w:val="auto"/>
                <w:szCs w:val="21"/>
                <w:lang w:val="en-US" w:eastAsia="zh-CN"/>
              </w:rPr>
              <w:t>15</w:t>
            </w:r>
          </w:p>
        </w:tc>
        <w:tc>
          <w:tcPr>
            <w:tcW w:w="1324" w:type="dxa"/>
            <w:vMerge w:val="restart"/>
            <w:vAlign w:val="center"/>
          </w:tcPr>
          <w:p w14:paraId="41477478">
            <w:pPr>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对房屋市政工程质量、安全及文明施工情况的行政检查</w:t>
            </w:r>
          </w:p>
        </w:tc>
        <w:tc>
          <w:tcPr>
            <w:tcW w:w="794" w:type="dxa"/>
            <w:vMerge w:val="restart"/>
            <w:vAlign w:val="center"/>
          </w:tcPr>
          <w:p w14:paraId="04825228">
            <w:pPr>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苏州市相城区住房和城乡建设局</w:t>
            </w:r>
          </w:p>
        </w:tc>
        <w:tc>
          <w:tcPr>
            <w:tcW w:w="872" w:type="dxa"/>
            <w:vMerge w:val="restart"/>
            <w:vAlign w:val="center"/>
          </w:tcPr>
          <w:p w14:paraId="3C857394">
            <w:pPr>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相城区建设工程质量安全监督中心</w:t>
            </w:r>
          </w:p>
        </w:tc>
        <w:tc>
          <w:tcPr>
            <w:tcW w:w="869" w:type="dxa"/>
            <w:vAlign w:val="center"/>
          </w:tcPr>
          <w:p w14:paraId="51A5B8AB">
            <w:pPr>
              <w:widowControl/>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施工</w:t>
            </w:r>
          </w:p>
          <w:p w14:paraId="570E7C4C">
            <w:pPr>
              <w:widowControl/>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单位</w:t>
            </w:r>
          </w:p>
        </w:tc>
        <w:tc>
          <w:tcPr>
            <w:tcW w:w="4962" w:type="dxa"/>
            <w:vAlign w:val="center"/>
          </w:tcPr>
          <w:p w14:paraId="3023EE86">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【行政法规】《建设工程安全生产管理条例》</w:t>
            </w:r>
          </w:p>
          <w:p w14:paraId="7A07A0F7">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第二十九条第一款　施工单位应当将施工现场的办公、生活区与作业区分开设置，并保持安全距离；办公、生活区的选址应当符合安全性要求。职工的膳食、饮水、休息场所等应当符合卫生标准。施工单位不得在尚未竣工的建筑物内设置员工集体宿舍。</w:t>
            </w:r>
          </w:p>
          <w:p w14:paraId="06E82EBE">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第六十四条第一款　违反本条例的规定，施工单位有下列行为之一的，责令限期改正；逾期未改正的，责令停业整顿，并处5万元以上10万元以下的罚款；造成重大安全事故，构成犯罪的，对直接责任人员，依照刑法有关规定追究刑事责任：</w:t>
            </w:r>
          </w:p>
          <w:p w14:paraId="5BEFB5F3">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（三）在尚未竣工的建筑物内设置员工集体宿舍的。</w:t>
            </w:r>
          </w:p>
          <w:p w14:paraId="17C5F4ED">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第六十八条　本条例规定的行政处罚，由建设行政主管部门或者其他有关部门依照法定职权决定。违反消防安全管理规定的行为，由公安消防机构依法处罚。有关法律、行政法规对建设工程安全生产违法行为的行政处罚决定机关另有规定的，从其规定。</w:t>
            </w:r>
          </w:p>
        </w:tc>
        <w:tc>
          <w:tcPr>
            <w:tcW w:w="992" w:type="dxa"/>
            <w:vMerge w:val="restart"/>
            <w:vAlign w:val="center"/>
          </w:tcPr>
          <w:p w14:paraId="78BF21EB">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现场检查、书面检查</w:t>
            </w:r>
          </w:p>
        </w:tc>
        <w:tc>
          <w:tcPr>
            <w:tcW w:w="1139" w:type="dxa"/>
            <w:vMerge w:val="restart"/>
            <w:vAlign w:val="center"/>
          </w:tcPr>
          <w:p w14:paraId="0BEF3524">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双随机+重点检查</w:t>
            </w:r>
          </w:p>
        </w:tc>
        <w:tc>
          <w:tcPr>
            <w:tcW w:w="1491" w:type="dxa"/>
            <w:vAlign w:val="center"/>
          </w:tcPr>
          <w:p w14:paraId="664B16B6">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320217200000</w:t>
            </w:r>
          </w:p>
        </w:tc>
        <w:tc>
          <w:tcPr>
            <w:tcW w:w="1481" w:type="dxa"/>
            <w:vAlign w:val="center"/>
          </w:tcPr>
          <w:p w14:paraId="23D91B70">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对施工单位在尚未竣工的建筑物内设置员工集体宿舍的处罚</w:t>
            </w:r>
          </w:p>
        </w:tc>
        <w:tc>
          <w:tcPr>
            <w:tcW w:w="622" w:type="dxa"/>
            <w:vAlign w:val="center"/>
          </w:tcPr>
          <w:p w14:paraId="4FF62A64">
            <w:pPr>
              <w:widowControl/>
              <w:autoSpaceDE w:val="0"/>
              <w:autoSpaceDN w:val="0"/>
              <w:spacing w:line="280" w:lineRule="exact"/>
              <w:jc w:val="left"/>
              <w:rPr>
                <w:rFonts w:ascii="Times New Roman" w:hAnsi="Times New Roman" w:eastAsia="仿宋_GB2312" w:cs="方正仿宋_GBK"/>
                <w:color w:val="auto"/>
                <w:szCs w:val="21"/>
              </w:rPr>
            </w:pPr>
          </w:p>
        </w:tc>
      </w:tr>
      <w:tr w14:paraId="7662F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6" w:type="dxa"/>
            <w:vMerge w:val="continue"/>
            <w:vAlign w:val="center"/>
          </w:tcPr>
          <w:p w14:paraId="1F568D0D">
            <w:pPr>
              <w:autoSpaceDE w:val="0"/>
              <w:autoSpaceDN w:val="0"/>
              <w:spacing w:line="280" w:lineRule="exact"/>
              <w:jc w:val="center"/>
              <w:rPr>
                <w:rFonts w:ascii="Times New Roman" w:hAnsi="Times New Roman" w:eastAsia="仿宋_GB2312" w:cs="方正仿宋_GBK"/>
                <w:color w:val="auto"/>
                <w:szCs w:val="21"/>
              </w:rPr>
            </w:pPr>
          </w:p>
        </w:tc>
        <w:tc>
          <w:tcPr>
            <w:tcW w:w="1324" w:type="dxa"/>
            <w:vMerge w:val="continue"/>
            <w:vAlign w:val="center"/>
          </w:tcPr>
          <w:p w14:paraId="5EA7CEC9">
            <w:pPr>
              <w:autoSpaceDE w:val="0"/>
              <w:autoSpaceDN w:val="0"/>
              <w:spacing w:line="280" w:lineRule="exact"/>
              <w:jc w:val="left"/>
              <w:rPr>
                <w:rFonts w:ascii="Times New Roman" w:hAnsi="Times New Roman" w:eastAsia="仿宋_GB2312" w:cs="方正仿宋_GBK"/>
                <w:color w:val="auto"/>
                <w:szCs w:val="21"/>
              </w:rPr>
            </w:pPr>
          </w:p>
        </w:tc>
        <w:tc>
          <w:tcPr>
            <w:tcW w:w="794" w:type="dxa"/>
            <w:vMerge w:val="continue"/>
            <w:vAlign w:val="center"/>
          </w:tcPr>
          <w:p w14:paraId="56C5B7C6">
            <w:pPr>
              <w:autoSpaceDE w:val="0"/>
              <w:autoSpaceDN w:val="0"/>
              <w:spacing w:line="280" w:lineRule="exact"/>
              <w:jc w:val="center"/>
              <w:rPr>
                <w:rFonts w:ascii="Times New Roman" w:hAnsi="Times New Roman" w:eastAsia="仿宋_GB2312" w:cs="方正仿宋_GBK"/>
                <w:color w:val="auto"/>
                <w:szCs w:val="21"/>
              </w:rPr>
            </w:pPr>
          </w:p>
        </w:tc>
        <w:tc>
          <w:tcPr>
            <w:tcW w:w="872" w:type="dxa"/>
            <w:vMerge w:val="continue"/>
            <w:vAlign w:val="center"/>
          </w:tcPr>
          <w:p w14:paraId="5BE02E44">
            <w:pPr>
              <w:autoSpaceDE w:val="0"/>
              <w:autoSpaceDN w:val="0"/>
              <w:spacing w:line="280" w:lineRule="exact"/>
              <w:jc w:val="center"/>
              <w:rPr>
                <w:rFonts w:ascii="Times New Roman" w:hAnsi="Times New Roman" w:eastAsia="仿宋_GB2312" w:cs="方正仿宋_GBK"/>
                <w:color w:val="auto"/>
                <w:szCs w:val="21"/>
              </w:rPr>
            </w:pPr>
          </w:p>
        </w:tc>
        <w:tc>
          <w:tcPr>
            <w:tcW w:w="869" w:type="dxa"/>
            <w:vAlign w:val="center"/>
          </w:tcPr>
          <w:p w14:paraId="0E244719">
            <w:pPr>
              <w:widowControl/>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建设</w:t>
            </w:r>
          </w:p>
          <w:p w14:paraId="324503EC">
            <w:pPr>
              <w:widowControl/>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单位</w:t>
            </w:r>
          </w:p>
        </w:tc>
        <w:tc>
          <w:tcPr>
            <w:tcW w:w="4962" w:type="dxa"/>
            <w:vAlign w:val="center"/>
          </w:tcPr>
          <w:p w14:paraId="46B58580">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【行政法规】《建设工程质量管理条例》</w:t>
            </w:r>
          </w:p>
          <w:p w14:paraId="4CE2B8E7">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第十四条第二款  建设单位不得明示或者暗示施工单位使用不合格的建筑材料、建筑构配件和设备。</w:t>
            </w:r>
          </w:p>
          <w:p w14:paraId="34ABDDD4">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第五十六条　违反本条例规定，建设单位有下列行为之一的，责令改正，处20万元以上50万元以下的罚款：</w:t>
            </w:r>
          </w:p>
          <w:p w14:paraId="1D3E2740">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（七）明示或者暗示施工单位使用不合格的建筑材料、建筑构配件和设备的。</w:t>
            </w:r>
          </w:p>
        </w:tc>
        <w:tc>
          <w:tcPr>
            <w:tcW w:w="992" w:type="dxa"/>
            <w:vMerge w:val="continue"/>
            <w:vAlign w:val="center"/>
          </w:tcPr>
          <w:p w14:paraId="2B1AE893">
            <w:pPr>
              <w:widowControl/>
              <w:autoSpaceDE w:val="0"/>
              <w:autoSpaceDN w:val="0"/>
              <w:spacing w:line="280" w:lineRule="exact"/>
              <w:jc w:val="left"/>
              <w:rPr>
                <w:rFonts w:ascii="Times New Roman" w:hAnsi="Times New Roman" w:eastAsia="仿宋_GB2312" w:cs="方正仿宋_GBK"/>
                <w:color w:val="auto"/>
                <w:szCs w:val="21"/>
              </w:rPr>
            </w:pPr>
          </w:p>
        </w:tc>
        <w:tc>
          <w:tcPr>
            <w:tcW w:w="1139" w:type="dxa"/>
            <w:vMerge w:val="continue"/>
            <w:vAlign w:val="center"/>
          </w:tcPr>
          <w:p w14:paraId="2E3E2968">
            <w:pPr>
              <w:widowControl/>
              <w:autoSpaceDE w:val="0"/>
              <w:autoSpaceDN w:val="0"/>
              <w:spacing w:line="280" w:lineRule="exact"/>
              <w:jc w:val="left"/>
              <w:rPr>
                <w:rFonts w:ascii="Times New Roman" w:hAnsi="Times New Roman" w:eastAsia="仿宋_GB2312" w:cs="方正仿宋_GBK"/>
                <w:color w:val="auto"/>
                <w:szCs w:val="21"/>
              </w:rPr>
            </w:pPr>
          </w:p>
        </w:tc>
        <w:tc>
          <w:tcPr>
            <w:tcW w:w="1491" w:type="dxa"/>
            <w:vAlign w:val="center"/>
          </w:tcPr>
          <w:p w14:paraId="170805F4">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320217188000</w:t>
            </w:r>
          </w:p>
        </w:tc>
        <w:tc>
          <w:tcPr>
            <w:tcW w:w="1481" w:type="dxa"/>
            <w:vAlign w:val="center"/>
          </w:tcPr>
          <w:p w14:paraId="4520D9EC">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对建设单位明示或者暗示施工单位使用不合格的建筑材料、建筑构配件和设备的处罚</w:t>
            </w:r>
          </w:p>
        </w:tc>
        <w:tc>
          <w:tcPr>
            <w:tcW w:w="622" w:type="dxa"/>
            <w:vAlign w:val="center"/>
          </w:tcPr>
          <w:p w14:paraId="60D10A3B">
            <w:pPr>
              <w:widowControl/>
              <w:autoSpaceDE w:val="0"/>
              <w:autoSpaceDN w:val="0"/>
              <w:spacing w:line="280" w:lineRule="exact"/>
              <w:jc w:val="left"/>
              <w:rPr>
                <w:rFonts w:ascii="Times New Roman" w:hAnsi="Times New Roman" w:eastAsia="仿宋_GB2312" w:cs="方正仿宋_GBK"/>
                <w:color w:val="auto"/>
                <w:szCs w:val="21"/>
              </w:rPr>
            </w:pPr>
          </w:p>
        </w:tc>
      </w:tr>
      <w:tr w14:paraId="5011FC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6" w:hRule="atLeast"/>
          <w:jc w:val="center"/>
        </w:trPr>
        <w:tc>
          <w:tcPr>
            <w:tcW w:w="536" w:type="dxa"/>
            <w:vMerge w:val="restart"/>
            <w:vAlign w:val="center"/>
          </w:tcPr>
          <w:p w14:paraId="15AA0D99">
            <w:pPr>
              <w:autoSpaceDE w:val="0"/>
              <w:autoSpaceDN w:val="0"/>
              <w:spacing w:line="280" w:lineRule="exact"/>
              <w:jc w:val="center"/>
              <w:rPr>
                <w:rFonts w:hint="default" w:ascii="Times New Roman" w:hAnsi="Times New Roman" w:eastAsia="仿宋_GB2312" w:cs="方正仿宋_GBK"/>
                <w:color w:val="auto"/>
                <w:szCs w:val="21"/>
                <w:lang w:val="en-US" w:eastAsia="zh-CN"/>
              </w:rPr>
            </w:pPr>
            <w:r>
              <w:rPr>
                <w:rFonts w:hint="eastAsia" w:ascii="Times New Roman" w:hAnsi="Times New Roman" w:eastAsia="仿宋_GB2312" w:cs="方正仿宋_GBK"/>
                <w:color w:val="auto"/>
                <w:szCs w:val="21"/>
                <w:lang w:val="en-US" w:eastAsia="zh-CN"/>
              </w:rPr>
              <w:t>15</w:t>
            </w:r>
          </w:p>
        </w:tc>
        <w:tc>
          <w:tcPr>
            <w:tcW w:w="1324" w:type="dxa"/>
            <w:vMerge w:val="restart"/>
            <w:vAlign w:val="center"/>
          </w:tcPr>
          <w:p w14:paraId="6CC31AFC">
            <w:pPr>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对房屋市政工程质量、安全及文明施工情况的行政检查</w:t>
            </w:r>
          </w:p>
        </w:tc>
        <w:tc>
          <w:tcPr>
            <w:tcW w:w="794" w:type="dxa"/>
            <w:vMerge w:val="restart"/>
            <w:vAlign w:val="center"/>
          </w:tcPr>
          <w:p w14:paraId="2120FD0C">
            <w:pPr>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苏州市相城区住房和城乡建设局</w:t>
            </w:r>
          </w:p>
        </w:tc>
        <w:tc>
          <w:tcPr>
            <w:tcW w:w="872" w:type="dxa"/>
            <w:vMerge w:val="restart"/>
            <w:vAlign w:val="center"/>
          </w:tcPr>
          <w:p w14:paraId="0F2EBA57">
            <w:pPr>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相城区建设工程质量安全监督中心</w:t>
            </w:r>
          </w:p>
        </w:tc>
        <w:tc>
          <w:tcPr>
            <w:tcW w:w="869" w:type="dxa"/>
            <w:vAlign w:val="center"/>
          </w:tcPr>
          <w:p w14:paraId="0E999586">
            <w:pPr>
              <w:widowControl/>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建设</w:t>
            </w:r>
          </w:p>
          <w:p w14:paraId="4D38F75A">
            <w:pPr>
              <w:widowControl/>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单位</w:t>
            </w:r>
          </w:p>
        </w:tc>
        <w:tc>
          <w:tcPr>
            <w:tcW w:w="4962" w:type="dxa"/>
            <w:vAlign w:val="center"/>
          </w:tcPr>
          <w:p w14:paraId="34A8921A">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第七十三条  依照本条例规定，给予单位罚款处罚的，对单位直接负责的主管人员和其他直接责任人员处单位罚款数额5％以上10％以下的罚款。</w:t>
            </w:r>
          </w:p>
          <w:p w14:paraId="4582F9D9">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第七十五条第一款  本条例规定的责令停业整顿、降低资质等级和吊销资质证书的行政处罚，由颁发资质证书的机关决定；其他行政处罚，由建设行政主管部门或者其他有关部门依照法定职权决定。</w:t>
            </w:r>
          </w:p>
        </w:tc>
        <w:tc>
          <w:tcPr>
            <w:tcW w:w="992" w:type="dxa"/>
            <w:vAlign w:val="center"/>
          </w:tcPr>
          <w:p w14:paraId="623E9BAF">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现场检查、书面检查</w:t>
            </w:r>
          </w:p>
        </w:tc>
        <w:tc>
          <w:tcPr>
            <w:tcW w:w="1139" w:type="dxa"/>
            <w:vAlign w:val="center"/>
          </w:tcPr>
          <w:p w14:paraId="32266E7C">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双随机+重点检查</w:t>
            </w:r>
          </w:p>
        </w:tc>
        <w:tc>
          <w:tcPr>
            <w:tcW w:w="1491" w:type="dxa"/>
            <w:vAlign w:val="center"/>
          </w:tcPr>
          <w:p w14:paraId="6273E8A8">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320217188000</w:t>
            </w:r>
          </w:p>
        </w:tc>
        <w:tc>
          <w:tcPr>
            <w:tcW w:w="1481" w:type="dxa"/>
            <w:vAlign w:val="center"/>
          </w:tcPr>
          <w:p w14:paraId="0104B759">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对建设单位明示或者暗示施工单位使用不合格的建筑材料、建筑构配件和设备的处罚</w:t>
            </w:r>
          </w:p>
        </w:tc>
        <w:tc>
          <w:tcPr>
            <w:tcW w:w="622" w:type="dxa"/>
            <w:vAlign w:val="center"/>
          </w:tcPr>
          <w:p w14:paraId="7D00C469">
            <w:pPr>
              <w:widowControl/>
              <w:autoSpaceDE w:val="0"/>
              <w:autoSpaceDN w:val="0"/>
              <w:spacing w:line="280" w:lineRule="exact"/>
              <w:jc w:val="left"/>
              <w:rPr>
                <w:rFonts w:ascii="Times New Roman" w:hAnsi="Times New Roman" w:eastAsia="仿宋_GB2312" w:cs="方正仿宋_GBK"/>
                <w:color w:val="auto"/>
                <w:szCs w:val="21"/>
              </w:rPr>
            </w:pPr>
          </w:p>
        </w:tc>
      </w:tr>
      <w:tr w14:paraId="5DAA7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61" w:hRule="atLeast"/>
          <w:jc w:val="center"/>
        </w:trPr>
        <w:tc>
          <w:tcPr>
            <w:tcW w:w="536" w:type="dxa"/>
            <w:vMerge w:val="continue"/>
            <w:vAlign w:val="center"/>
          </w:tcPr>
          <w:p w14:paraId="23ABBD24">
            <w:pPr>
              <w:widowControl/>
              <w:autoSpaceDE w:val="0"/>
              <w:autoSpaceDN w:val="0"/>
              <w:spacing w:line="280" w:lineRule="exact"/>
              <w:jc w:val="left"/>
              <w:rPr>
                <w:rFonts w:ascii="Times New Roman" w:hAnsi="Times New Roman" w:eastAsia="仿宋_GB2312" w:cs="方正仿宋_GBK"/>
                <w:color w:val="auto"/>
                <w:szCs w:val="21"/>
              </w:rPr>
            </w:pPr>
          </w:p>
        </w:tc>
        <w:tc>
          <w:tcPr>
            <w:tcW w:w="1324" w:type="dxa"/>
            <w:vMerge w:val="continue"/>
            <w:vAlign w:val="center"/>
          </w:tcPr>
          <w:p w14:paraId="13A30D45">
            <w:pPr>
              <w:widowControl/>
              <w:autoSpaceDE w:val="0"/>
              <w:autoSpaceDN w:val="0"/>
              <w:spacing w:line="280" w:lineRule="exact"/>
              <w:jc w:val="left"/>
              <w:rPr>
                <w:rFonts w:ascii="Times New Roman" w:hAnsi="Times New Roman" w:eastAsia="仿宋_GB2312" w:cs="方正仿宋_GBK"/>
                <w:color w:val="auto"/>
                <w:szCs w:val="21"/>
              </w:rPr>
            </w:pPr>
          </w:p>
        </w:tc>
        <w:tc>
          <w:tcPr>
            <w:tcW w:w="794" w:type="dxa"/>
            <w:vMerge w:val="continue"/>
            <w:vAlign w:val="center"/>
          </w:tcPr>
          <w:p w14:paraId="21F27CC7">
            <w:pPr>
              <w:widowControl/>
              <w:autoSpaceDE w:val="0"/>
              <w:autoSpaceDN w:val="0"/>
              <w:spacing w:line="280" w:lineRule="exact"/>
              <w:jc w:val="left"/>
              <w:rPr>
                <w:rFonts w:ascii="Times New Roman" w:hAnsi="Times New Roman" w:eastAsia="仿宋_GB2312" w:cs="方正仿宋_GBK"/>
                <w:color w:val="auto"/>
                <w:szCs w:val="21"/>
              </w:rPr>
            </w:pPr>
          </w:p>
        </w:tc>
        <w:tc>
          <w:tcPr>
            <w:tcW w:w="872" w:type="dxa"/>
            <w:vMerge w:val="continue"/>
            <w:vAlign w:val="center"/>
          </w:tcPr>
          <w:p w14:paraId="2592D431">
            <w:pPr>
              <w:widowControl/>
              <w:autoSpaceDE w:val="0"/>
              <w:autoSpaceDN w:val="0"/>
              <w:spacing w:line="280" w:lineRule="exact"/>
              <w:jc w:val="left"/>
              <w:rPr>
                <w:rFonts w:ascii="Times New Roman" w:hAnsi="Times New Roman" w:eastAsia="仿宋_GB2312" w:cs="方正仿宋_GBK"/>
                <w:color w:val="auto"/>
                <w:szCs w:val="21"/>
              </w:rPr>
            </w:pPr>
          </w:p>
        </w:tc>
        <w:tc>
          <w:tcPr>
            <w:tcW w:w="869" w:type="dxa"/>
            <w:vAlign w:val="center"/>
          </w:tcPr>
          <w:p w14:paraId="1A0F14EE">
            <w:pPr>
              <w:widowControl/>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施工</w:t>
            </w:r>
          </w:p>
          <w:p w14:paraId="4F07431F">
            <w:pPr>
              <w:widowControl/>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单位</w:t>
            </w:r>
          </w:p>
        </w:tc>
        <w:tc>
          <w:tcPr>
            <w:tcW w:w="4962" w:type="dxa"/>
            <w:vAlign w:val="center"/>
          </w:tcPr>
          <w:p w14:paraId="713D39F5">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【行政法规】《建设工程质量管理条例》</w:t>
            </w:r>
          </w:p>
          <w:p w14:paraId="34F92B81">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第二十九条　施工单位必须按照工程设计要求、施工技术标准和合同约定，对建筑材料、建筑构配件、设备和商品混凝土进行检验，检验应当有书面记录和专人签字；未经检验或者检验不合格的，不得使用。</w:t>
            </w:r>
          </w:p>
          <w:p w14:paraId="20AAC2F5">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第六十五条　违反本条例规定，施工单位未对建筑材料、建筑构配件、设备和商品混凝土进行检验，或者未对涉及结构安全的试块、试件以及有关材料取样检测的，责令改正，处10万元以上20万元以下的罚款；情节严重的，责令停业整顿，降低资质等级或者吊销资质证书；造成损失的，依法承担赔偿责任。</w:t>
            </w:r>
          </w:p>
          <w:p w14:paraId="1EB0BA43">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第七十三条  依照本条例规定，给予单位罚款处罚的，对单位直接负责的主管人员和其他直接责任人员处单位罚款数额5％以上10％以下的罚款。</w:t>
            </w:r>
          </w:p>
          <w:p w14:paraId="098E3EFB">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第七十五条第一款  本条例规定的责令停业整顿、降低资质等级和吊销资质证书的行政处罚，由颁发资质证书的机关决定；其他行政处罚，由建设行政主管部门或者其他有关部门依照法定职权决定。</w:t>
            </w:r>
          </w:p>
        </w:tc>
        <w:tc>
          <w:tcPr>
            <w:tcW w:w="992" w:type="dxa"/>
            <w:vAlign w:val="center"/>
          </w:tcPr>
          <w:p w14:paraId="711E0D5A">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现场检查、书面检查</w:t>
            </w:r>
          </w:p>
        </w:tc>
        <w:tc>
          <w:tcPr>
            <w:tcW w:w="1139" w:type="dxa"/>
            <w:vAlign w:val="center"/>
          </w:tcPr>
          <w:p w14:paraId="07C4F2B2">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双随机+重点检查</w:t>
            </w:r>
          </w:p>
        </w:tc>
        <w:tc>
          <w:tcPr>
            <w:tcW w:w="1491" w:type="dxa"/>
            <w:vAlign w:val="center"/>
          </w:tcPr>
          <w:p w14:paraId="11D12076">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320217181000</w:t>
            </w:r>
          </w:p>
        </w:tc>
        <w:tc>
          <w:tcPr>
            <w:tcW w:w="1481" w:type="dxa"/>
            <w:vAlign w:val="center"/>
          </w:tcPr>
          <w:p w14:paraId="16E49EAA">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对施工单位未对建筑材料、建筑构配件、设备和商品混凝土进行检验，或者未对涉及结构安全的试块、试件以及有关材料取样检测的处罚</w:t>
            </w:r>
          </w:p>
        </w:tc>
        <w:tc>
          <w:tcPr>
            <w:tcW w:w="622" w:type="dxa"/>
            <w:vAlign w:val="center"/>
          </w:tcPr>
          <w:p w14:paraId="7D42E719">
            <w:pPr>
              <w:widowControl/>
              <w:autoSpaceDE w:val="0"/>
              <w:autoSpaceDN w:val="0"/>
              <w:spacing w:line="280" w:lineRule="exact"/>
              <w:jc w:val="left"/>
              <w:rPr>
                <w:rFonts w:ascii="Times New Roman" w:hAnsi="Times New Roman" w:eastAsia="仿宋_GB2312" w:cs="方正仿宋_GBK"/>
                <w:color w:val="auto"/>
                <w:szCs w:val="21"/>
              </w:rPr>
            </w:pPr>
          </w:p>
        </w:tc>
      </w:tr>
      <w:tr w14:paraId="2EF818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6" w:type="dxa"/>
            <w:vMerge w:val="restart"/>
            <w:vAlign w:val="center"/>
          </w:tcPr>
          <w:p w14:paraId="290E3150">
            <w:pPr>
              <w:autoSpaceDE w:val="0"/>
              <w:autoSpaceDN w:val="0"/>
              <w:spacing w:line="280" w:lineRule="exact"/>
              <w:jc w:val="center"/>
              <w:rPr>
                <w:rFonts w:hint="default" w:ascii="Times New Roman" w:hAnsi="Times New Roman" w:eastAsia="仿宋_GB2312" w:cs="方正仿宋_GBK"/>
                <w:color w:val="auto"/>
                <w:szCs w:val="21"/>
                <w:lang w:val="en-US" w:eastAsia="zh-CN"/>
              </w:rPr>
            </w:pPr>
            <w:r>
              <w:rPr>
                <w:rFonts w:hint="eastAsia" w:ascii="Times New Roman" w:hAnsi="Times New Roman" w:eastAsia="仿宋_GB2312" w:cs="方正仿宋_GBK"/>
                <w:color w:val="auto"/>
                <w:szCs w:val="21"/>
                <w:lang w:val="en-US" w:eastAsia="zh-CN"/>
              </w:rPr>
              <w:t>15</w:t>
            </w:r>
          </w:p>
        </w:tc>
        <w:tc>
          <w:tcPr>
            <w:tcW w:w="1324" w:type="dxa"/>
            <w:vMerge w:val="restart"/>
            <w:vAlign w:val="center"/>
          </w:tcPr>
          <w:p w14:paraId="43AB7EBE">
            <w:pPr>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对房屋市政工程质量、安全及文明施工情况的行政检查</w:t>
            </w:r>
          </w:p>
        </w:tc>
        <w:tc>
          <w:tcPr>
            <w:tcW w:w="794" w:type="dxa"/>
            <w:vMerge w:val="restart"/>
            <w:vAlign w:val="center"/>
          </w:tcPr>
          <w:p w14:paraId="16E2FA2E">
            <w:pPr>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苏州市相城区住房和城乡建设局</w:t>
            </w:r>
          </w:p>
        </w:tc>
        <w:tc>
          <w:tcPr>
            <w:tcW w:w="872" w:type="dxa"/>
            <w:vMerge w:val="restart"/>
            <w:vAlign w:val="center"/>
          </w:tcPr>
          <w:p w14:paraId="2CAF23C8">
            <w:pPr>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相城区建设工程质量安全监督中心</w:t>
            </w:r>
          </w:p>
        </w:tc>
        <w:tc>
          <w:tcPr>
            <w:tcW w:w="869" w:type="dxa"/>
            <w:vAlign w:val="center"/>
          </w:tcPr>
          <w:p w14:paraId="679E0432">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主要负责人、项目负责人</w:t>
            </w:r>
          </w:p>
        </w:tc>
        <w:tc>
          <w:tcPr>
            <w:tcW w:w="4962" w:type="dxa"/>
            <w:vAlign w:val="center"/>
          </w:tcPr>
          <w:p w14:paraId="0A75CEBF">
            <w:pPr>
              <w:widowControl/>
              <w:autoSpaceDE w:val="0"/>
              <w:autoSpaceDN w:val="0"/>
              <w:spacing w:line="27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【规章】《建筑施工企业主要负责人、项目负责人和专职安全生产管理人员安全生产管理规定》　</w:t>
            </w:r>
          </w:p>
          <w:p w14:paraId="648B77B3">
            <w:pPr>
              <w:widowControl/>
              <w:autoSpaceDE w:val="0"/>
              <w:autoSpaceDN w:val="0"/>
              <w:spacing w:line="270" w:lineRule="exact"/>
              <w:ind w:firstLine="42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第三十二条　主要负责人、项目负责人未按规定履行安全生产管理职责的，由县级以上人民政府住房城乡建设主管部门责令限期改正；逾期未改正的，责令建筑施工企业停业整顿；造成生产安全事故或者其他严重后果的，按照《生产安全事故报告和调查处理条例》的有关规定，依法暂扣或者吊销安全生产考核合格证书；构成犯罪的，依法追究刑事责任。</w:t>
            </w:r>
          </w:p>
          <w:p w14:paraId="529E0A44">
            <w:pPr>
              <w:widowControl/>
              <w:autoSpaceDE w:val="0"/>
              <w:autoSpaceDN w:val="0"/>
              <w:spacing w:line="270" w:lineRule="exact"/>
              <w:ind w:firstLine="42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主要负责人、项目负责人有前款违法行为，尚不够刑事处罚的，处2万元以上20万元以下的罚款或者按照管理权限给予撤职处分；自刑罚执行完毕或者受处分之日起，5年内不得担任建筑施工企业的主要负责人、项目负责人。</w:t>
            </w:r>
          </w:p>
        </w:tc>
        <w:tc>
          <w:tcPr>
            <w:tcW w:w="992" w:type="dxa"/>
            <w:vAlign w:val="center"/>
          </w:tcPr>
          <w:p w14:paraId="37058E7E">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现场检查、书面检查</w:t>
            </w:r>
          </w:p>
        </w:tc>
        <w:tc>
          <w:tcPr>
            <w:tcW w:w="1139" w:type="dxa"/>
            <w:vAlign w:val="center"/>
          </w:tcPr>
          <w:p w14:paraId="6D08D53F">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双随机+重点检查</w:t>
            </w:r>
          </w:p>
        </w:tc>
        <w:tc>
          <w:tcPr>
            <w:tcW w:w="1491" w:type="dxa"/>
            <w:vAlign w:val="center"/>
          </w:tcPr>
          <w:p w14:paraId="1F059E8E">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320217170000</w:t>
            </w:r>
          </w:p>
        </w:tc>
        <w:tc>
          <w:tcPr>
            <w:tcW w:w="1481" w:type="dxa"/>
            <w:vAlign w:val="center"/>
          </w:tcPr>
          <w:p w14:paraId="7D8D73FA">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对主要负责人、项目负责人未按规定履行安全生产管理职责的处罚</w:t>
            </w:r>
          </w:p>
        </w:tc>
        <w:tc>
          <w:tcPr>
            <w:tcW w:w="622" w:type="dxa"/>
            <w:vAlign w:val="center"/>
          </w:tcPr>
          <w:p w14:paraId="74C95C44">
            <w:pPr>
              <w:widowControl/>
              <w:autoSpaceDE w:val="0"/>
              <w:autoSpaceDN w:val="0"/>
              <w:spacing w:line="280" w:lineRule="exact"/>
              <w:jc w:val="left"/>
              <w:rPr>
                <w:rFonts w:ascii="Times New Roman" w:hAnsi="Times New Roman" w:eastAsia="仿宋_GB2312" w:cs="方正仿宋_GBK"/>
                <w:color w:val="auto"/>
                <w:szCs w:val="21"/>
              </w:rPr>
            </w:pPr>
          </w:p>
        </w:tc>
      </w:tr>
      <w:tr w14:paraId="568C9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93" w:hRule="atLeast"/>
          <w:jc w:val="center"/>
        </w:trPr>
        <w:tc>
          <w:tcPr>
            <w:tcW w:w="536" w:type="dxa"/>
            <w:vMerge w:val="continue"/>
            <w:vAlign w:val="center"/>
          </w:tcPr>
          <w:p w14:paraId="34E3DB88">
            <w:pPr>
              <w:widowControl/>
              <w:autoSpaceDE w:val="0"/>
              <w:autoSpaceDN w:val="0"/>
              <w:spacing w:line="280" w:lineRule="exact"/>
              <w:jc w:val="left"/>
              <w:rPr>
                <w:rFonts w:ascii="Times New Roman" w:hAnsi="Times New Roman" w:eastAsia="仿宋_GB2312" w:cs="方正仿宋_GBK"/>
                <w:color w:val="auto"/>
                <w:szCs w:val="21"/>
              </w:rPr>
            </w:pPr>
          </w:p>
        </w:tc>
        <w:tc>
          <w:tcPr>
            <w:tcW w:w="1324" w:type="dxa"/>
            <w:vMerge w:val="continue"/>
            <w:vAlign w:val="center"/>
          </w:tcPr>
          <w:p w14:paraId="5E29DC04">
            <w:pPr>
              <w:widowControl/>
              <w:autoSpaceDE w:val="0"/>
              <w:autoSpaceDN w:val="0"/>
              <w:spacing w:line="280" w:lineRule="exact"/>
              <w:jc w:val="left"/>
              <w:rPr>
                <w:rFonts w:ascii="Times New Roman" w:hAnsi="Times New Roman" w:eastAsia="仿宋_GB2312" w:cs="方正仿宋_GBK"/>
                <w:color w:val="auto"/>
                <w:szCs w:val="21"/>
              </w:rPr>
            </w:pPr>
          </w:p>
        </w:tc>
        <w:tc>
          <w:tcPr>
            <w:tcW w:w="794" w:type="dxa"/>
            <w:vMerge w:val="continue"/>
            <w:vAlign w:val="center"/>
          </w:tcPr>
          <w:p w14:paraId="237236E0">
            <w:pPr>
              <w:widowControl/>
              <w:autoSpaceDE w:val="0"/>
              <w:autoSpaceDN w:val="0"/>
              <w:spacing w:line="280" w:lineRule="exact"/>
              <w:jc w:val="left"/>
              <w:rPr>
                <w:rFonts w:ascii="Times New Roman" w:hAnsi="Times New Roman" w:eastAsia="仿宋_GB2312" w:cs="方正仿宋_GBK"/>
                <w:color w:val="auto"/>
                <w:szCs w:val="21"/>
              </w:rPr>
            </w:pPr>
          </w:p>
        </w:tc>
        <w:tc>
          <w:tcPr>
            <w:tcW w:w="872" w:type="dxa"/>
            <w:vMerge w:val="continue"/>
            <w:vAlign w:val="center"/>
          </w:tcPr>
          <w:p w14:paraId="404C775B">
            <w:pPr>
              <w:widowControl/>
              <w:autoSpaceDE w:val="0"/>
              <w:autoSpaceDN w:val="0"/>
              <w:spacing w:line="280" w:lineRule="exact"/>
              <w:jc w:val="left"/>
              <w:rPr>
                <w:rFonts w:ascii="Times New Roman" w:hAnsi="Times New Roman" w:eastAsia="仿宋_GB2312" w:cs="方正仿宋_GBK"/>
                <w:color w:val="auto"/>
                <w:szCs w:val="21"/>
              </w:rPr>
            </w:pPr>
          </w:p>
        </w:tc>
        <w:tc>
          <w:tcPr>
            <w:tcW w:w="869" w:type="dxa"/>
            <w:vAlign w:val="center"/>
          </w:tcPr>
          <w:p w14:paraId="59548850">
            <w:pPr>
              <w:widowControl/>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建设</w:t>
            </w:r>
          </w:p>
          <w:p w14:paraId="6309E79F">
            <w:pPr>
              <w:widowControl/>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单位</w:t>
            </w:r>
          </w:p>
        </w:tc>
        <w:tc>
          <w:tcPr>
            <w:tcW w:w="4962" w:type="dxa"/>
            <w:vAlign w:val="center"/>
          </w:tcPr>
          <w:p w14:paraId="230DC2B4">
            <w:pPr>
              <w:widowControl/>
              <w:autoSpaceDE w:val="0"/>
              <w:autoSpaceDN w:val="0"/>
              <w:spacing w:line="264"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【行政法规】《建设工程质量管理条例》</w:t>
            </w:r>
          </w:p>
          <w:p w14:paraId="5614210F">
            <w:pPr>
              <w:widowControl/>
              <w:autoSpaceDE w:val="0"/>
              <w:autoSpaceDN w:val="0"/>
              <w:spacing w:line="264"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第十六条第三款　建设工程经验收合格的，方可交付使用。</w:t>
            </w:r>
          </w:p>
          <w:p w14:paraId="29DDB0E5">
            <w:pPr>
              <w:widowControl/>
              <w:autoSpaceDE w:val="0"/>
              <w:autoSpaceDN w:val="0"/>
              <w:spacing w:line="264"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第五十八条　违反本条例规定，建设单位有下列行为之一的，责令改正，处工程合同价款2％以上4％以下的罚款；造成损失的，依法承担赔偿责任：</w:t>
            </w:r>
          </w:p>
          <w:p w14:paraId="3627EABA">
            <w:pPr>
              <w:widowControl/>
              <w:autoSpaceDE w:val="0"/>
              <w:autoSpaceDN w:val="0"/>
              <w:spacing w:line="264"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（三）对不合格的建设工程按照合格工程验收的。</w:t>
            </w:r>
          </w:p>
          <w:p w14:paraId="4713FDDB">
            <w:pPr>
              <w:widowControl/>
              <w:autoSpaceDE w:val="0"/>
              <w:autoSpaceDN w:val="0"/>
              <w:spacing w:line="264"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第七十三条  依照本条例规定，给予单位罚款处罚的，对单位直接负责的主管人员和其他直接责任人员处单位罚款数额5％以上10％以下的罚款。</w:t>
            </w:r>
          </w:p>
          <w:p w14:paraId="5DA4850A">
            <w:pPr>
              <w:widowControl/>
              <w:autoSpaceDE w:val="0"/>
              <w:autoSpaceDN w:val="0"/>
              <w:spacing w:line="264"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第七十五条第一款  本条例规定的责令停业整顿、降低资质等级和吊销资质证书的行政处罚，由颁发资质证书的机关决定；其他行政处罚，由建设行政主管部门或者其他有关部门依照法定职权决定。</w:t>
            </w:r>
          </w:p>
        </w:tc>
        <w:tc>
          <w:tcPr>
            <w:tcW w:w="992" w:type="dxa"/>
            <w:vAlign w:val="center"/>
          </w:tcPr>
          <w:p w14:paraId="61828F6C">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现场检查、书面检查</w:t>
            </w:r>
          </w:p>
        </w:tc>
        <w:tc>
          <w:tcPr>
            <w:tcW w:w="1139" w:type="dxa"/>
            <w:vAlign w:val="center"/>
          </w:tcPr>
          <w:p w14:paraId="540AB845">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双随机+重点检查</w:t>
            </w:r>
          </w:p>
        </w:tc>
        <w:tc>
          <w:tcPr>
            <w:tcW w:w="1491" w:type="dxa"/>
            <w:vAlign w:val="center"/>
          </w:tcPr>
          <w:p w14:paraId="4FE818C2">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320217166000</w:t>
            </w:r>
          </w:p>
        </w:tc>
        <w:tc>
          <w:tcPr>
            <w:tcW w:w="1481" w:type="dxa"/>
            <w:vAlign w:val="center"/>
          </w:tcPr>
          <w:p w14:paraId="78352F26">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对建设单位将不合格建设工程按照合格工程验收的处罚</w:t>
            </w:r>
          </w:p>
        </w:tc>
        <w:tc>
          <w:tcPr>
            <w:tcW w:w="622" w:type="dxa"/>
            <w:vAlign w:val="center"/>
          </w:tcPr>
          <w:p w14:paraId="37E93EFA">
            <w:pPr>
              <w:widowControl/>
              <w:autoSpaceDE w:val="0"/>
              <w:autoSpaceDN w:val="0"/>
              <w:spacing w:line="280" w:lineRule="exact"/>
              <w:jc w:val="left"/>
              <w:rPr>
                <w:rFonts w:ascii="Times New Roman" w:hAnsi="Times New Roman" w:eastAsia="仿宋_GB2312" w:cs="方正仿宋_GBK"/>
                <w:color w:val="auto"/>
                <w:szCs w:val="21"/>
              </w:rPr>
            </w:pPr>
          </w:p>
        </w:tc>
      </w:tr>
      <w:tr w14:paraId="0273B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8" w:hRule="atLeast"/>
          <w:jc w:val="center"/>
        </w:trPr>
        <w:tc>
          <w:tcPr>
            <w:tcW w:w="536" w:type="dxa"/>
            <w:vMerge w:val="restart"/>
            <w:vAlign w:val="center"/>
          </w:tcPr>
          <w:p w14:paraId="21899CA7">
            <w:pPr>
              <w:autoSpaceDE w:val="0"/>
              <w:autoSpaceDN w:val="0"/>
              <w:spacing w:line="280" w:lineRule="exact"/>
              <w:jc w:val="center"/>
              <w:rPr>
                <w:rFonts w:hint="default" w:ascii="Times New Roman" w:hAnsi="Times New Roman" w:eastAsia="仿宋_GB2312" w:cs="方正仿宋_GBK"/>
                <w:color w:val="auto"/>
                <w:szCs w:val="21"/>
                <w:lang w:val="en-US" w:eastAsia="zh-CN"/>
              </w:rPr>
            </w:pPr>
            <w:r>
              <w:rPr>
                <w:rFonts w:hint="eastAsia" w:ascii="Times New Roman" w:hAnsi="Times New Roman" w:eastAsia="仿宋_GB2312" w:cs="方正仿宋_GBK"/>
                <w:color w:val="auto"/>
                <w:szCs w:val="21"/>
                <w:lang w:val="en-US" w:eastAsia="zh-CN"/>
              </w:rPr>
              <w:t>15</w:t>
            </w:r>
          </w:p>
        </w:tc>
        <w:tc>
          <w:tcPr>
            <w:tcW w:w="1324" w:type="dxa"/>
            <w:vMerge w:val="restart"/>
            <w:vAlign w:val="center"/>
          </w:tcPr>
          <w:p w14:paraId="1D523AFA">
            <w:pPr>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对房屋市政工程质量、安全及文明施工情况的行政检查</w:t>
            </w:r>
          </w:p>
        </w:tc>
        <w:tc>
          <w:tcPr>
            <w:tcW w:w="794" w:type="dxa"/>
            <w:vMerge w:val="restart"/>
            <w:vAlign w:val="center"/>
          </w:tcPr>
          <w:p w14:paraId="759119BE">
            <w:pPr>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苏州市相城区住房和城乡建设局</w:t>
            </w:r>
          </w:p>
        </w:tc>
        <w:tc>
          <w:tcPr>
            <w:tcW w:w="872" w:type="dxa"/>
            <w:vMerge w:val="restart"/>
            <w:vAlign w:val="center"/>
          </w:tcPr>
          <w:p w14:paraId="1CD23DFB">
            <w:pPr>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相城区建设工程质量安全监督中心</w:t>
            </w:r>
          </w:p>
        </w:tc>
        <w:tc>
          <w:tcPr>
            <w:tcW w:w="869" w:type="dxa"/>
            <w:vMerge w:val="restart"/>
            <w:vAlign w:val="center"/>
          </w:tcPr>
          <w:p w14:paraId="25103AE4">
            <w:pPr>
              <w:widowControl/>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施工</w:t>
            </w:r>
          </w:p>
          <w:p w14:paraId="49E1C325">
            <w:pPr>
              <w:widowControl/>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单位</w:t>
            </w:r>
          </w:p>
        </w:tc>
        <w:tc>
          <w:tcPr>
            <w:tcW w:w="4962" w:type="dxa"/>
            <w:vAlign w:val="center"/>
          </w:tcPr>
          <w:p w14:paraId="0ED7B0A7">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【规章】《江苏省房屋建筑和市政基础设施工程质量监督管理办法》</w:t>
            </w:r>
          </w:p>
          <w:p w14:paraId="4DF84024">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第十九条  施工单位应当履行下列工程质量义务：</w:t>
            </w:r>
          </w:p>
          <w:p w14:paraId="56402221">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（一）按照规定配备相应的工程项目管理人员、检测仪器并规范标准，项目经理不得擅自变更和离岗，现场质量检查员应当由施工单位直接派驻，并对施工单位负责。</w:t>
            </w:r>
          </w:p>
          <w:p w14:paraId="6308BDC3">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第二十五条  违反本办法第十九条规定，施工单位有下列行为之一的，由住房和城乡建设行政主管部门责令改正，并可处5000元以上3万元以下罚款：</w:t>
            </w:r>
          </w:p>
          <w:p w14:paraId="38B47AD0">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（二）项目经理擅自变更或者离岗的。</w:t>
            </w:r>
          </w:p>
        </w:tc>
        <w:tc>
          <w:tcPr>
            <w:tcW w:w="992" w:type="dxa"/>
            <w:vMerge w:val="restart"/>
            <w:vAlign w:val="center"/>
          </w:tcPr>
          <w:p w14:paraId="7E436093">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现场检查、书面检查</w:t>
            </w:r>
          </w:p>
        </w:tc>
        <w:tc>
          <w:tcPr>
            <w:tcW w:w="1139" w:type="dxa"/>
            <w:vMerge w:val="restart"/>
            <w:vAlign w:val="center"/>
          </w:tcPr>
          <w:p w14:paraId="1F00070A">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双随机+重点检查</w:t>
            </w:r>
          </w:p>
        </w:tc>
        <w:tc>
          <w:tcPr>
            <w:tcW w:w="1491" w:type="dxa"/>
            <w:vAlign w:val="center"/>
          </w:tcPr>
          <w:p w14:paraId="3F11B0A6">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320217390000</w:t>
            </w:r>
          </w:p>
        </w:tc>
        <w:tc>
          <w:tcPr>
            <w:tcW w:w="1481" w:type="dxa"/>
            <w:vAlign w:val="center"/>
          </w:tcPr>
          <w:p w14:paraId="0A6C7364">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对施工单位配备的项目经理擅自变更或者离岗的处罚</w:t>
            </w:r>
          </w:p>
        </w:tc>
        <w:tc>
          <w:tcPr>
            <w:tcW w:w="622" w:type="dxa"/>
            <w:vAlign w:val="center"/>
          </w:tcPr>
          <w:p w14:paraId="79F542DB">
            <w:pPr>
              <w:widowControl/>
              <w:autoSpaceDE w:val="0"/>
              <w:autoSpaceDN w:val="0"/>
              <w:spacing w:line="280" w:lineRule="exact"/>
              <w:jc w:val="left"/>
              <w:rPr>
                <w:rFonts w:ascii="Times New Roman" w:hAnsi="Times New Roman" w:eastAsia="仿宋_GB2312" w:cs="方正仿宋_GBK"/>
                <w:color w:val="auto"/>
                <w:szCs w:val="21"/>
              </w:rPr>
            </w:pPr>
          </w:p>
        </w:tc>
      </w:tr>
      <w:tr w14:paraId="20F3BB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7" w:hRule="atLeast"/>
          <w:jc w:val="center"/>
        </w:trPr>
        <w:tc>
          <w:tcPr>
            <w:tcW w:w="536" w:type="dxa"/>
            <w:vMerge w:val="continue"/>
            <w:vAlign w:val="center"/>
          </w:tcPr>
          <w:p w14:paraId="6CD89A0C">
            <w:pPr>
              <w:widowControl/>
              <w:autoSpaceDE w:val="0"/>
              <w:autoSpaceDN w:val="0"/>
              <w:spacing w:line="280" w:lineRule="exact"/>
              <w:jc w:val="left"/>
              <w:rPr>
                <w:rFonts w:ascii="Times New Roman" w:hAnsi="Times New Roman" w:eastAsia="仿宋_GB2312" w:cs="方正仿宋_GBK"/>
                <w:color w:val="auto"/>
                <w:szCs w:val="21"/>
              </w:rPr>
            </w:pPr>
          </w:p>
        </w:tc>
        <w:tc>
          <w:tcPr>
            <w:tcW w:w="1324" w:type="dxa"/>
            <w:vMerge w:val="continue"/>
            <w:vAlign w:val="center"/>
          </w:tcPr>
          <w:p w14:paraId="3DDCEE44">
            <w:pPr>
              <w:widowControl/>
              <w:autoSpaceDE w:val="0"/>
              <w:autoSpaceDN w:val="0"/>
              <w:spacing w:line="280" w:lineRule="exact"/>
              <w:jc w:val="left"/>
              <w:rPr>
                <w:rFonts w:ascii="Times New Roman" w:hAnsi="Times New Roman" w:eastAsia="仿宋_GB2312" w:cs="方正仿宋_GBK"/>
                <w:color w:val="auto"/>
                <w:szCs w:val="21"/>
              </w:rPr>
            </w:pPr>
          </w:p>
        </w:tc>
        <w:tc>
          <w:tcPr>
            <w:tcW w:w="794" w:type="dxa"/>
            <w:vMerge w:val="continue"/>
            <w:vAlign w:val="center"/>
          </w:tcPr>
          <w:p w14:paraId="1AAD5043">
            <w:pPr>
              <w:widowControl/>
              <w:autoSpaceDE w:val="0"/>
              <w:autoSpaceDN w:val="0"/>
              <w:spacing w:line="280" w:lineRule="exact"/>
              <w:jc w:val="left"/>
              <w:rPr>
                <w:rFonts w:ascii="Times New Roman" w:hAnsi="Times New Roman" w:eastAsia="仿宋_GB2312" w:cs="方正仿宋_GBK"/>
                <w:color w:val="auto"/>
                <w:szCs w:val="21"/>
              </w:rPr>
            </w:pPr>
          </w:p>
        </w:tc>
        <w:tc>
          <w:tcPr>
            <w:tcW w:w="872" w:type="dxa"/>
            <w:vMerge w:val="continue"/>
            <w:vAlign w:val="center"/>
          </w:tcPr>
          <w:p w14:paraId="291BACE8">
            <w:pPr>
              <w:widowControl/>
              <w:autoSpaceDE w:val="0"/>
              <w:autoSpaceDN w:val="0"/>
              <w:spacing w:line="280" w:lineRule="exact"/>
              <w:jc w:val="left"/>
              <w:rPr>
                <w:rFonts w:ascii="Times New Roman" w:hAnsi="Times New Roman" w:eastAsia="仿宋_GB2312" w:cs="方正仿宋_GBK"/>
                <w:color w:val="auto"/>
                <w:szCs w:val="21"/>
              </w:rPr>
            </w:pPr>
          </w:p>
        </w:tc>
        <w:tc>
          <w:tcPr>
            <w:tcW w:w="869" w:type="dxa"/>
            <w:vMerge w:val="continue"/>
            <w:vAlign w:val="center"/>
          </w:tcPr>
          <w:p w14:paraId="5BDB52ED">
            <w:pPr>
              <w:widowControl/>
              <w:autoSpaceDE w:val="0"/>
              <w:autoSpaceDN w:val="0"/>
              <w:spacing w:line="280" w:lineRule="exact"/>
              <w:jc w:val="left"/>
              <w:rPr>
                <w:rFonts w:ascii="Times New Roman" w:hAnsi="Times New Roman" w:eastAsia="仿宋_GB2312" w:cs="方正仿宋_GBK"/>
                <w:color w:val="auto"/>
                <w:szCs w:val="21"/>
              </w:rPr>
            </w:pPr>
          </w:p>
        </w:tc>
        <w:tc>
          <w:tcPr>
            <w:tcW w:w="4962" w:type="dxa"/>
            <w:vAlign w:val="center"/>
          </w:tcPr>
          <w:p w14:paraId="003F67B2">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【规章】《江苏省房屋建筑和市政基础设施工程质量监督管理办法》</w:t>
            </w:r>
          </w:p>
          <w:p w14:paraId="6FFAA52F">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第二十五条  违反本办法第十九条规定，施工单位有下列行为之一的，由住房和城乡建设行政主管部门责令改正，并可处5000元以上3万元以下罚款：</w:t>
            </w:r>
          </w:p>
          <w:p w14:paraId="5FE99A99">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（三）关键部位、关键工序隐蔽验收合格后，未及时填写验收记录并由专人签字的。</w:t>
            </w:r>
          </w:p>
        </w:tc>
        <w:tc>
          <w:tcPr>
            <w:tcW w:w="992" w:type="dxa"/>
            <w:vMerge w:val="continue"/>
            <w:vAlign w:val="center"/>
          </w:tcPr>
          <w:p w14:paraId="4C863A6D">
            <w:pPr>
              <w:widowControl/>
              <w:autoSpaceDE w:val="0"/>
              <w:autoSpaceDN w:val="0"/>
              <w:spacing w:line="280" w:lineRule="exact"/>
              <w:jc w:val="left"/>
              <w:rPr>
                <w:rFonts w:ascii="Times New Roman" w:hAnsi="Times New Roman" w:eastAsia="仿宋_GB2312" w:cs="方正仿宋_GBK"/>
                <w:color w:val="auto"/>
                <w:szCs w:val="21"/>
              </w:rPr>
            </w:pPr>
          </w:p>
        </w:tc>
        <w:tc>
          <w:tcPr>
            <w:tcW w:w="1139" w:type="dxa"/>
            <w:vMerge w:val="continue"/>
            <w:vAlign w:val="center"/>
          </w:tcPr>
          <w:p w14:paraId="5800CFC6">
            <w:pPr>
              <w:widowControl/>
              <w:autoSpaceDE w:val="0"/>
              <w:autoSpaceDN w:val="0"/>
              <w:spacing w:line="280" w:lineRule="exact"/>
              <w:jc w:val="left"/>
              <w:rPr>
                <w:rFonts w:ascii="Times New Roman" w:hAnsi="Times New Roman" w:eastAsia="仿宋_GB2312" w:cs="方正仿宋_GBK"/>
                <w:color w:val="auto"/>
                <w:szCs w:val="21"/>
              </w:rPr>
            </w:pPr>
          </w:p>
        </w:tc>
        <w:tc>
          <w:tcPr>
            <w:tcW w:w="1491" w:type="dxa"/>
            <w:vAlign w:val="center"/>
          </w:tcPr>
          <w:p w14:paraId="3449E237">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320217380000</w:t>
            </w:r>
          </w:p>
        </w:tc>
        <w:tc>
          <w:tcPr>
            <w:tcW w:w="1481" w:type="dxa"/>
            <w:vAlign w:val="center"/>
          </w:tcPr>
          <w:p w14:paraId="78442701">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highlight w:val="none"/>
              </w:rPr>
              <w:t>对施工单位在关键部位、关键工序隐蔽验收合格后未及时填写验收记录并由专人签字的处罚</w:t>
            </w:r>
          </w:p>
        </w:tc>
        <w:tc>
          <w:tcPr>
            <w:tcW w:w="622" w:type="dxa"/>
            <w:vAlign w:val="center"/>
          </w:tcPr>
          <w:p w14:paraId="46AC6828">
            <w:pPr>
              <w:widowControl/>
              <w:autoSpaceDE w:val="0"/>
              <w:autoSpaceDN w:val="0"/>
              <w:spacing w:line="280" w:lineRule="exact"/>
              <w:jc w:val="left"/>
              <w:rPr>
                <w:rFonts w:ascii="Times New Roman" w:hAnsi="Times New Roman" w:eastAsia="仿宋_GB2312" w:cs="方正仿宋_GBK"/>
                <w:color w:val="auto"/>
                <w:szCs w:val="21"/>
              </w:rPr>
            </w:pPr>
          </w:p>
        </w:tc>
      </w:tr>
      <w:tr w14:paraId="387EF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03" w:hRule="atLeast"/>
          <w:jc w:val="center"/>
        </w:trPr>
        <w:tc>
          <w:tcPr>
            <w:tcW w:w="536" w:type="dxa"/>
            <w:vMerge w:val="continue"/>
            <w:vAlign w:val="center"/>
          </w:tcPr>
          <w:p w14:paraId="27AE59F9">
            <w:pPr>
              <w:widowControl/>
              <w:autoSpaceDE w:val="0"/>
              <w:autoSpaceDN w:val="0"/>
              <w:spacing w:line="280" w:lineRule="exact"/>
              <w:jc w:val="left"/>
              <w:rPr>
                <w:rFonts w:ascii="Times New Roman" w:hAnsi="Times New Roman" w:eastAsia="仿宋_GB2312" w:cs="方正仿宋_GBK"/>
                <w:color w:val="auto"/>
                <w:szCs w:val="21"/>
              </w:rPr>
            </w:pPr>
          </w:p>
        </w:tc>
        <w:tc>
          <w:tcPr>
            <w:tcW w:w="1324" w:type="dxa"/>
            <w:vMerge w:val="continue"/>
            <w:vAlign w:val="center"/>
          </w:tcPr>
          <w:p w14:paraId="59F9345C">
            <w:pPr>
              <w:widowControl/>
              <w:autoSpaceDE w:val="0"/>
              <w:autoSpaceDN w:val="0"/>
              <w:spacing w:line="280" w:lineRule="exact"/>
              <w:jc w:val="left"/>
              <w:rPr>
                <w:rFonts w:ascii="Times New Roman" w:hAnsi="Times New Roman" w:eastAsia="仿宋_GB2312" w:cs="方正仿宋_GBK"/>
                <w:color w:val="auto"/>
                <w:szCs w:val="21"/>
              </w:rPr>
            </w:pPr>
          </w:p>
        </w:tc>
        <w:tc>
          <w:tcPr>
            <w:tcW w:w="794" w:type="dxa"/>
            <w:vMerge w:val="continue"/>
            <w:vAlign w:val="center"/>
          </w:tcPr>
          <w:p w14:paraId="41C38D49">
            <w:pPr>
              <w:widowControl/>
              <w:autoSpaceDE w:val="0"/>
              <w:autoSpaceDN w:val="0"/>
              <w:spacing w:line="280" w:lineRule="exact"/>
              <w:jc w:val="left"/>
              <w:rPr>
                <w:rFonts w:ascii="Times New Roman" w:hAnsi="Times New Roman" w:eastAsia="仿宋_GB2312" w:cs="方正仿宋_GBK"/>
                <w:color w:val="auto"/>
                <w:szCs w:val="21"/>
              </w:rPr>
            </w:pPr>
          </w:p>
        </w:tc>
        <w:tc>
          <w:tcPr>
            <w:tcW w:w="872" w:type="dxa"/>
            <w:vMerge w:val="continue"/>
            <w:vAlign w:val="center"/>
          </w:tcPr>
          <w:p w14:paraId="5A8D4078">
            <w:pPr>
              <w:widowControl/>
              <w:autoSpaceDE w:val="0"/>
              <w:autoSpaceDN w:val="0"/>
              <w:spacing w:line="280" w:lineRule="exact"/>
              <w:jc w:val="left"/>
              <w:rPr>
                <w:rFonts w:ascii="Times New Roman" w:hAnsi="Times New Roman" w:eastAsia="仿宋_GB2312" w:cs="方正仿宋_GBK"/>
                <w:color w:val="auto"/>
                <w:szCs w:val="21"/>
              </w:rPr>
            </w:pPr>
          </w:p>
        </w:tc>
        <w:tc>
          <w:tcPr>
            <w:tcW w:w="869" w:type="dxa"/>
            <w:vAlign w:val="center"/>
          </w:tcPr>
          <w:p w14:paraId="38FA4743">
            <w:pPr>
              <w:widowControl/>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监理</w:t>
            </w:r>
          </w:p>
          <w:p w14:paraId="10551F52">
            <w:pPr>
              <w:widowControl/>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单位</w:t>
            </w:r>
          </w:p>
        </w:tc>
        <w:tc>
          <w:tcPr>
            <w:tcW w:w="4962" w:type="dxa"/>
            <w:vAlign w:val="center"/>
          </w:tcPr>
          <w:p w14:paraId="01A6E2AE">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【规章】《建筑起重机械安全监督管理规定》</w:t>
            </w:r>
          </w:p>
          <w:p w14:paraId="6865EBA8">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第二十二条　监理单位应当履行下列安全职责：</w:t>
            </w:r>
          </w:p>
          <w:p w14:paraId="5B7D67EB">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（四）监督安装单位执行建筑起重机械安装、拆卸工程专项施工方案情况；</w:t>
            </w:r>
          </w:p>
          <w:p w14:paraId="6B440C78">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第三十二条  违反本规定，监理单位未履行第二十二条第（一）、（二）、（四）、（五）项安全职责的，由县级以上地方人民政府建设主管部门责令限期改正，予以警告，并处以5000元以上3万元以下罚款。</w:t>
            </w:r>
          </w:p>
        </w:tc>
        <w:tc>
          <w:tcPr>
            <w:tcW w:w="992" w:type="dxa"/>
            <w:vMerge w:val="continue"/>
            <w:vAlign w:val="center"/>
          </w:tcPr>
          <w:p w14:paraId="158F07AF">
            <w:pPr>
              <w:widowControl/>
              <w:autoSpaceDE w:val="0"/>
              <w:autoSpaceDN w:val="0"/>
              <w:spacing w:line="280" w:lineRule="exact"/>
              <w:jc w:val="left"/>
              <w:rPr>
                <w:rFonts w:ascii="Times New Roman" w:hAnsi="Times New Roman" w:eastAsia="仿宋_GB2312" w:cs="方正仿宋_GBK"/>
                <w:color w:val="auto"/>
                <w:szCs w:val="21"/>
              </w:rPr>
            </w:pPr>
          </w:p>
        </w:tc>
        <w:tc>
          <w:tcPr>
            <w:tcW w:w="1139" w:type="dxa"/>
            <w:vMerge w:val="continue"/>
            <w:vAlign w:val="center"/>
          </w:tcPr>
          <w:p w14:paraId="5716FD82">
            <w:pPr>
              <w:widowControl/>
              <w:autoSpaceDE w:val="0"/>
              <w:autoSpaceDN w:val="0"/>
              <w:spacing w:line="280" w:lineRule="exact"/>
              <w:jc w:val="left"/>
              <w:rPr>
                <w:rFonts w:ascii="Times New Roman" w:hAnsi="Times New Roman" w:eastAsia="仿宋_GB2312" w:cs="方正仿宋_GBK"/>
                <w:color w:val="auto"/>
                <w:szCs w:val="21"/>
              </w:rPr>
            </w:pPr>
          </w:p>
        </w:tc>
        <w:tc>
          <w:tcPr>
            <w:tcW w:w="1491" w:type="dxa"/>
            <w:vAlign w:val="center"/>
          </w:tcPr>
          <w:p w14:paraId="717FBB8B">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320217354000</w:t>
            </w:r>
          </w:p>
        </w:tc>
        <w:tc>
          <w:tcPr>
            <w:tcW w:w="1481" w:type="dxa"/>
            <w:vAlign w:val="center"/>
          </w:tcPr>
          <w:p w14:paraId="0D836093">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对监理单位未监督安装单位执行建筑起重机械安装、拆卸工程专项施工方案情况的处罚</w:t>
            </w:r>
          </w:p>
        </w:tc>
        <w:tc>
          <w:tcPr>
            <w:tcW w:w="622" w:type="dxa"/>
            <w:vAlign w:val="center"/>
          </w:tcPr>
          <w:p w14:paraId="19252114">
            <w:pPr>
              <w:widowControl/>
              <w:autoSpaceDE w:val="0"/>
              <w:autoSpaceDN w:val="0"/>
              <w:spacing w:line="280" w:lineRule="exact"/>
              <w:jc w:val="left"/>
              <w:rPr>
                <w:rFonts w:ascii="Times New Roman" w:hAnsi="Times New Roman" w:eastAsia="仿宋_GB2312" w:cs="方正仿宋_GBK"/>
                <w:color w:val="auto"/>
                <w:szCs w:val="21"/>
              </w:rPr>
            </w:pPr>
          </w:p>
        </w:tc>
      </w:tr>
      <w:tr w14:paraId="601A5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6" w:type="dxa"/>
            <w:vMerge w:val="restart"/>
            <w:vAlign w:val="center"/>
          </w:tcPr>
          <w:p w14:paraId="185E8AC9">
            <w:pPr>
              <w:autoSpaceDE w:val="0"/>
              <w:autoSpaceDN w:val="0"/>
              <w:spacing w:line="280" w:lineRule="exact"/>
              <w:jc w:val="center"/>
              <w:rPr>
                <w:rFonts w:hint="default" w:ascii="Times New Roman" w:hAnsi="Times New Roman" w:eastAsia="仿宋_GB2312" w:cs="方正仿宋_GBK"/>
                <w:color w:val="auto"/>
                <w:szCs w:val="21"/>
                <w:lang w:val="en-US" w:eastAsia="zh-CN"/>
              </w:rPr>
            </w:pPr>
            <w:r>
              <w:rPr>
                <w:rFonts w:hint="eastAsia" w:ascii="Times New Roman" w:hAnsi="Times New Roman" w:eastAsia="仿宋_GB2312" w:cs="方正仿宋_GBK"/>
                <w:color w:val="auto"/>
                <w:szCs w:val="21"/>
                <w:lang w:val="en-US" w:eastAsia="zh-CN"/>
              </w:rPr>
              <w:t>15</w:t>
            </w:r>
          </w:p>
        </w:tc>
        <w:tc>
          <w:tcPr>
            <w:tcW w:w="1324" w:type="dxa"/>
            <w:vMerge w:val="restart"/>
            <w:vAlign w:val="center"/>
          </w:tcPr>
          <w:p w14:paraId="2B8805D0">
            <w:pPr>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对房屋市政工程质量、安全及文明施工情况的行政检查</w:t>
            </w:r>
          </w:p>
        </w:tc>
        <w:tc>
          <w:tcPr>
            <w:tcW w:w="794" w:type="dxa"/>
            <w:vMerge w:val="restart"/>
            <w:vAlign w:val="center"/>
          </w:tcPr>
          <w:p w14:paraId="4CA4C287">
            <w:pPr>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苏州市相城区住房和城乡建设局</w:t>
            </w:r>
          </w:p>
        </w:tc>
        <w:tc>
          <w:tcPr>
            <w:tcW w:w="872" w:type="dxa"/>
            <w:vMerge w:val="restart"/>
            <w:vAlign w:val="center"/>
          </w:tcPr>
          <w:p w14:paraId="2CD38286">
            <w:pPr>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相城区建设工程质量安全监督中心</w:t>
            </w:r>
          </w:p>
        </w:tc>
        <w:tc>
          <w:tcPr>
            <w:tcW w:w="869" w:type="dxa"/>
            <w:vAlign w:val="center"/>
          </w:tcPr>
          <w:p w14:paraId="00DA38F9">
            <w:pPr>
              <w:widowControl/>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监理</w:t>
            </w:r>
          </w:p>
          <w:p w14:paraId="36D239A1">
            <w:pPr>
              <w:widowControl/>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单位</w:t>
            </w:r>
          </w:p>
        </w:tc>
        <w:tc>
          <w:tcPr>
            <w:tcW w:w="4962" w:type="dxa"/>
            <w:vAlign w:val="center"/>
          </w:tcPr>
          <w:p w14:paraId="7A8DC5E3">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【规章】《建筑起重机械安全监督管理规定》</w:t>
            </w:r>
          </w:p>
          <w:p w14:paraId="38EA5B44">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第二十二条　监理单位应当履行下列安全职责：</w:t>
            </w:r>
          </w:p>
          <w:p w14:paraId="71809749">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（五）监督检查建筑起重机械的使用情况；</w:t>
            </w:r>
          </w:p>
          <w:p w14:paraId="6BC02FA1">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第三十二条  违反本规定，监理单位未履行第二十二条第（一）、（二）、（四）、（五）项安全职责的，由县级以上地方人民政府建设主管部门责令限期改正，予以警告，并处以5000元以上3万元以下罚款。</w:t>
            </w:r>
          </w:p>
        </w:tc>
        <w:tc>
          <w:tcPr>
            <w:tcW w:w="992" w:type="dxa"/>
            <w:vMerge w:val="restart"/>
            <w:vAlign w:val="center"/>
          </w:tcPr>
          <w:p w14:paraId="6D74C8B8">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现场检查、书面检查</w:t>
            </w:r>
          </w:p>
        </w:tc>
        <w:tc>
          <w:tcPr>
            <w:tcW w:w="1139" w:type="dxa"/>
            <w:vMerge w:val="restart"/>
            <w:vAlign w:val="center"/>
          </w:tcPr>
          <w:p w14:paraId="5215207F">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双随机+重点检查</w:t>
            </w:r>
          </w:p>
        </w:tc>
        <w:tc>
          <w:tcPr>
            <w:tcW w:w="1491" w:type="dxa"/>
            <w:vAlign w:val="center"/>
          </w:tcPr>
          <w:p w14:paraId="299470CE">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320217339000</w:t>
            </w:r>
          </w:p>
        </w:tc>
        <w:tc>
          <w:tcPr>
            <w:tcW w:w="1481" w:type="dxa"/>
            <w:vAlign w:val="center"/>
          </w:tcPr>
          <w:p w14:paraId="41A2FE5C">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对监理单位未监督检查建筑起重机械的使用情况的处罚</w:t>
            </w:r>
          </w:p>
        </w:tc>
        <w:tc>
          <w:tcPr>
            <w:tcW w:w="622" w:type="dxa"/>
            <w:vAlign w:val="center"/>
          </w:tcPr>
          <w:p w14:paraId="72D62CE0">
            <w:pPr>
              <w:widowControl/>
              <w:autoSpaceDE w:val="0"/>
              <w:autoSpaceDN w:val="0"/>
              <w:spacing w:line="280" w:lineRule="exact"/>
              <w:jc w:val="left"/>
              <w:rPr>
                <w:rFonts w:ascii="Times New Roman" w:hAnsi="Times New Roman" w:eastAsia="仿宋_GB2312" w:cs="方正仿宋_GBK"/>
                <w:color w:val="auto"/>
                <w:szCs w:val="21"/>
              </w:rPr>
            </w:pPr>
          </w:p>
        </w:tc>
      </w:tr>
      <w:tr w14:paraId="24E59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6" w:type="dxa"/>
            <w:vMerge w:val="continue"/>
            <w:vAlign w:val="center"/>
          </w:tcPr>
          <w:p w14:paraId="3294E68F">
            <w:pPr>
              <w:widowControl/>
              <w:autoSpaceDE w:val="0"/>
              <w:autoSpaceDN w:val="0"/>
              <w:spacing w:line="280" w:lineRule="exact"/>
              <w:jc w:val="left"/>
              <w:rPr>
                <w:rFonts w:ascii="Times New Roman" w:hAnsi="Times New Roman" w:eastAsia="仿宋_GB2312" w:cs="方正仿宋_GBK"/>
                <w:color w:val="auto"/>
                <w:szCs w:val="21"/>
              </w:rPr>
            </w:pPr>
          </w:p>
        </w:tc>
        <w:tc>
          <w:tcPr>
            <w:tcW w:w="1324" w:type="dxa"/>
            <w:vMerge w:val="continue"/>
            <w:vAlign w:val="center"/>
          </w:tcPr>
          <w:p w14:paraId="0F6E9AB2">
            <w:pPr>
              <w:widowControl/>
              <w:autoSpaceDE w:val="0"/>
              <w:autoSpaceDN w:val="0"/>
              <w:spacing w:line="280" w:lineRule="exact"/>
              <w:jc w:val="left"/>
              <w:rPr>
                <w:rFonts w:ascii="Times New Roman" w:hAnsi="Times New Roman" w:eastAsia="仿宋_GB2312" w:cs="方正仿宋_GBK"/>
                <w:color w:val="auto"/>
                <w:szCs w:val="21"/>
              </w:rPr>
            </w:pPr>
          </w:p>
        </w:tc>
        <w:tc>
          <w:tcPr>
            <w:tcW w:w="794" w:type="dxa"/>
            <w:vMerge w:val="continue"/>
            <w:vAlign w:val="center"/>
          </w:tcPr>
          <w:p w14:paraId="190ABBFA">
            <w:pPr>
              <w:widowControl/>
              <w:autoSpaceDE w:val="0"/>
              <w:autoSpaceDN w:val="0"/>
              <w:spacing w:line="280" w:lineRule="exact"/>
              <w:jc w:val="left"/>
              <w:rPr>
                <w:rFonts w:ascii="Times New Roman" w:hAnsi="Times New Roman" w:eastAsia="仿宋_GB2312" w:cs="方正仿宋_GBK"/>
                <w:color w:val="auto"/>
                <w:szCs w:val="21"/>
              </w:rPr>
            </w:pPr>
          </w:p>
        </w:tc>
        <w:tc>
          <w:tcPr>
            <w:tcW w:w="872" w:type="dxa"/>
            <w:vMerge w:val="continue"/>
            <w:vAlign w:val="center"/>
          </w:tcPr>
          <w:p w14:paraId="59474093">
            <w:pPr>
              <w:widowControl/>
              <w:autoSpaceDE w:val="0"/>
              <w:autoSpaceDN w:val="0"/>
              <w:spacing w:line="280" w:lineRule="exact"/>
              <w:jc w:val="left"/>
              <w:rPr>
                <w:rFonts w:ascii="Times New Roman" w:hAnsi="Times New Roman" w:eastAsia="仿宋_GB2312" w:cs="方正仿宋_GBK"/>
                <w:color w:val="auto"/>
                <w:szCs w:val="21"/>
              </w:rPr>
            </w:pPr>
          </w:p>
        </w:tc>
        <w:tc>
          <w:tcPr>
            <w:tcW w:w="869" w:type="dxa"/>
            <w:vMerge w:val="restart"/>
            <w:vAlign w:val="center"/>
          </w:tcPr>
          <w:p w14:paraId="20C1DFF4">
            <w:pPr>
              <w:widowControl/>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建设</w:t>
            </w:r>
          </w:p>
          <w:p w14:paraId="4EF3882E">
            <w:pPr>
              <w:widowControl/>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单位</w:t>
            </w:r>
          </w:p>
        </w:tc>
        <w:tc>
          <w:tcPr>
            <w:tcW w:w="4962" w:type="dxa"/>
            <w:vAlign w:val="center"/>
          </w:tcPr>
          <w:p w14:paraId="3796DBCA">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【行政法规】《建设工程质量管理条例》</w:t>
            </w:r>
          </w:p>
          <w:p w14:paraId="2C9D0840">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第十六条第三款　建设工程经验收合格的，方可交付使用。</w:t>
            </w:r>
          </w:p>
          <w:p w14:paraId="75F014C5">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第五十八条　违反本条例规定，建设单位有下列行为之一的，责令改正，处工程合同价款2％以上4％以下的罚款；造成损失的，依法承担赔偿责任：</w:t>
            </w:r>
          </w:p>
          <w:p w14:paraId="0BB9F02E">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（二）验收不合格，擅自交付使用的。</w:t>
            </w:r>
          </w:p>
          <w:p w14:paraId="6D51709F">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第七十三条  依照本条例规定，给予单位罚款处罚的，对单位直接负责的主管人员和其他直接责任人员处单位罚款数额5％以上10％以下的罚款。</w:t>
            </w:r>
          </w:p>
          <w:p w14:paraId="0DABBF5B">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第七十五条第一款  本条例规定的责令停业整顿、降低资质等级和吊销资质证书的行政处罚，由颁发资质证书的机关决定；其他行政处罚，由建设行政主管部门或者其他有关部门依照法定职权决定。</w:t>
            </w:r>
          </w:p>
        </w:tc>
        <w:tc>
          <w:tcPr>
            <w:tcW w:w="992" w:type="dxa"/>
            <w:vMerge w:val="continue"/>
            <w:vAlign w:val="center"/>
          </w:tcPr>
          <w:p w14:paraId="19BEA052">
            <w:pPr>
              <w:widowControl/>
              <w:autoSpaceDE w:val="0"/>
              <w:autoSpaceDN w:val="0"/>
              <w:spacing w:line="280" w:lineRule="exact"/>
              <w:jc w:val="left"/>
              <w:rPr>
                <w:rFonts w:ascii="Times New Roman" w:hAnsi="Times New Roman" w:eastAsia="仿宋_GB2312" w:cs="方正仿宋_GBK"/>
                <w:color w:val="auto"/>
                <w:szCs w:val="21"/>
              </w:rPr>
            </w:pPr>
          </w:p>
        </w:tc>
        <w:tc>
          <w:tcPr>
            <w:tcW w:w="1139" w:type="dxa"/>
            <w:vMerge w:val="continue"/>
            <w:vAlign w:val="center"/>
          </w:tcPr>
          <w:p w14:paraId="3DEC7519">
            <w:pPr>
              <w:widowControl/>
              <w:autoSpaceDE w:val="0"/>
              <w:autoSpaceDN w:val="0"/>
              <w:spacing w:line="280" w:lineRule="exact"/>
              <w:jc w:val="left"/>
              <w:rPr>
                <w:rFonts w:ascii="Times New Roman" w:hAnsi="Times New Roman" w:eastAsia="仿宋_GB2312" w:cs="方正仿宋_GBK"/>
                <w:color w:val="auto"/>
                <w:szCs w:val="21"/>
              </w:rPr>
            </w:pPr>
          </w:p>
        </w:tc>
        <w:tc>
          <w:tcPr>
            <w:tcW w:w="1491" w:type="dxa"/>
            <w:vAlign w:val="center"/>
          </w:tcPr>
          <w:p w14:paraId="1949E7F8">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320217281000</w:t>
            </w:r>
          </w:p>
        </w:tc>
        <w:tc>
          <w:tcPr>
            <w:tcW w:w="1481" w:type="dxa"/>
            <w:vAlign w:val="center"/>
          </w:tcPr>
          <w:p w14:paraId="372C3211">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对建设单位擅自将验收不合格的工程交付使用的处罚</w:t>
            </w:r>
          </w:p>
        </w:tc>
        <w:tc>
          <w:tcPr>
            <w:tcW w:w="622" w:type="dxa"/>
            <w:vAlign w:val="center"/>
          </w:tcPr>
          <w:p w14:paraId="28E9F8BE">
            <w:pPr>
              <w:widowControl/>
              <w:autoSpaceDE w:val="0"/>
              <w:autoSpaceDN w:val="0"/>
              <w:spacing w:line="280" w:lineRule="exact"/>
              <w:jc w:val="left"/>
              <w:rPr>
                <w:rFonts w:ascii="Times New Roman" w:hAnsi="Times New Roman" w:eastAsia="仿宋_GB2312" w:cs="方正仿宋_GBK"/>
                <w:color w:val="auto"/>
                <w:szCs w:val="21"/>
              </w:rPr>
            </w:pPr>
          </w:p>
        </w:tc>
      </w:tr>
      <w:tr w14:paraId="2D50AF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6" w:type="dxa"/>
            <w:vMerge w:val="continue"/>
            <w:vAlign w:val="center"/>
          </w:tcPr>
          <w:p w14:paraId="207C0B0E">
            <w:pPr>
              <w:widowControl/>
              <w:autoSpaceDE w:val="0"/>
              <w:autoSpaceDN w:val="0"/>
              <w:spacing w:line="280" w:lineRule="exact"/>
              <w:jc w:val="left"/>
              <w:rPr>
                <w:rFonts w:ascii="Times New Roman" w:hAnsi="Times New Roman" w:eastAsia="仿宋_GB2312" w:cs="方正仿宋_GBK"/>
                <w:color w:val="auto"/>
                <w:szCs w:val="21"/>
              </w:rPr>
            </w:pPr>
          </w:p>
        </w:tc>
        <w:tc>
          <w:tcPr>
            <w:tcW w:w="1324" w:type="dxa"/>
            <w:vMerge w:val="continue"/>
            <w:vAlign w:val="center"/>
          </w:tcPr>
          <w:p w14:paraId="008D8EF6">
            <w:pPr>
              <w:widowControl/>
              <w:autoSpaceDE w:val="0"/>
              <w:autoSpaceDN w:val="0"/>
              <w:spacing w:line="280" w:lineRule="exact"/>
              <w:jc w:val="left"/>
              <w:rPr>
                <w:rFonts w:ascii="Times New Roman" w:hAnsi="Times New Roman" w:eastAsia="仿宋_GB2312" w:cs="方正仿宋_GBK"/>
                <w:color w:val="auto"/>
                <w:szCs w:val="21"/>
              </w:rPr>
            </w:pPr>
          </w:p>
        </w:tc>
        <w:tc>
          <w:tcPr>
            <w:tcW w:w="794" w:type="dxa"/>
            <w:vMerge w:val="continue"/>
            <w:vAlign w:val="center"/>
          </w:tcPr>
          <w:p w14:paraId="27FDE72D">
            <w:pPr>
              <w:widowControl/>
              <w:autoSpaceDE w:val="0"/>
              <w:autoSpaceDN w:val="0"/>
              <w:spacing w:line="280" w:lineRule="exact"/>
              <w:jc w:val="left"/>
              <w:rPr>
                <w:rFonts w:ascii="Times New Roman" w:hAnsi="Times New Roman" w:eastAsia="仿宋_GB2312" w:cs="方正仿宋_GBK"/>
                <w:color w:val="auto"/>
                <w:szCs w:val="21"/>
              </w:rPr>
            </w:pPr>
          </w:p>
        </w:tc>
        <w:tc>
          <w:tcPr>
            <w:tcW w:w="872" w:type="dxa"/>
            <w:vMerge w:val="continue"/>
            <w:vAlign w:val="center"/>
          </w:tcPr>
          <w:p w14:paraId="2FEF4488">
            <w:pPr>
              <w:widowControl/>
              <w:autoSpaceDE w:val="0"/>
              <w:autoSpaceDN w:val="0"/>
              <w:spacing w:line="280" w:lineRule="exact"/>
              <w:jc w:val="left"/>
              <w:rPr>
                <w:rFonts w:ascii="Times New Roman" w:hAnsi="Times New Roman" w:eastAsia="仿宋_GB2312" w:cs="方正仿宋_GBK"/>
                <w:color w:val="auto"/>
                <w:szCs w:val="21"/>
              </w:rPr>
            </w:pPr>
          </w:p>
        </w:tc>
        <w:tc>
          <w:tcPr>
            <w:tcW w:w="869" w:type="dxa"/>
            <w:vMerge w:val="continue"/>
            <w:vAlign w:val="center"/>
          </w:tcPr>
          <w:p w14:paraId="218A648E">
            <w:pPr>
              <w:widowControl/>
              <w:autoSpaceDE w:val="0"/>
              <w:autoSpaceDN w:val="0"/>
              <w:spacing w:line="280" w:lineRule="exact"/>
              <w:jc w:val="center"/>
              <w:rPr>
                <w:rFonts w:ascii="Times New Roman" w:hAnsi="Times New Roman" w:eastAsia="仿宋_GB2312" w:cs="方正仿宋_GBK"/>
                <w:color w:val="auto"/>
                <w:szCs w:val="21"/>
              </w:rPr>
            </w:pPr>
          </w:p>
        </w:tc>
        <w:tc>
          <w:tcPr>
            <w:tcW w:w="4962" w:type="dxa"/>
            <w:vAlign w:val="center"/>
          </w:tcPr>
          <w:p w14:paraId="4270B290">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【行政法规】《建设工程安全生产管理条例》</w:t>
            </w:r>
          </w:p>
          <w:p w14:paraId="2E5C197F">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第十一条第一款　建设单位应当将拆除工程发包给具有相应资质等级的施工单位。</w:t>
            </w:r>
          </w:p>
          <w:p w14:paraId="7AA01FFB">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第五十五条　违反本条例的规定，建设单位有下列行为之一的，责令限期改正，处20万元以上50万元</w:t>
            </w:r>
          </w:p>
        </w:tc>
        <w:tc>
          <w:tcPr>
            <w:tcW w:w="992" w:type="dxa"/>
            <w:vMerge w:val="continue"/>
            <w:vAlign w:val="center"/>
          </w:tcPr>
          <w:p w14:paraId="6DBC7D98">
            <w:pPr>
              <w:widowControl/>
              <w:autoSpaceDE w:val="0"/>
              <w:autoSpaceDN w:val="0"/>
              <w:spacing w:line="280" w:lineRule="exact"/>
              <w:jc w:val="left"/>
              <w:rPr>
                <w:rFonts w:ascii="Times New Roman" w:hAnsi="Times New Roman" w:eastAsia="仿宋_GB2312" w:cs="方正仿宋_GBK"/>
                <w:color w:val="auto"/>
                <w:szCs w:val="21"/>
              </w:rPr>
            </w:pPr>
          </w:p>
        </w:tc>
        <w:tc>
          <w:tcPr>
            <w:tcW w:w="1139" w:type="dxa"/>
            <w:vMerge w:val="continue"/>
            <w:vAlign w:val="center"/>
          </w:tcPr>
          <w:p w14:paraId="667709B6">
            <w:pPr>
              <w:widowControl/>
              <w:autoSpaceDE w:val="0"/>
              <w:autoSpaceDN w:val="0"/>
              <w:spacing w:line="280" w:lineRule="exact"/>
              <w:jc w:val="left"/>
              <w:rPr>
                <w:rFonts w:ascii="Times New Roman" w:hAnsi="Times New Roman" w:eastAsia="仿宋_GB2312" w:cs="方正仿宋_GBK"/>
                <w:color w:val="auto"/>
                <w:szCs w:val="21"/>
              </w:rPr>
            </w:pPr>
          </w:p>
        </w:tc>
        <w:tc>
          <w:tcPr>
            <w:tcW w:w="1491" w:type="dxa"/>
            <w:vAlign w:val="center"/>
          </w:tcPr>
          <w:p w14:paraId="20B61638">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320217278000</w:t>
            </w:r>
          </w:p>
        </w:tc>
        <w:tc>
          <w:tcPr>
            <w:tcW w:w="1481" w:type="dxa"/>
            <w:vAlign w:val="center"/>
          </w:tcPr>
          <w:p w14:paraId="7DCA2B7E">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对建设单位将拆除工程发包给不具有相应资质等级的施工单位的处罚</w:t>
            </w:r>
          </w:p>
        </w:tc>
        <w:tc>
          <w:tcPr>
            <w:tcW w:w="622" w:type="dxa"/>
            <w:vAlign w:val="center"/>
          </w:tcPr>
          <w:p w14:paraId="2A450278">
            <w:pPr>
              <w:widowControl/>
              <w:autoSpaceDE w:val="0"/>
              <w:autoSpaceDN w:val="0"/>
              <w:spacing w:line="280" w:lineRule="exact"/>
              <w:jc w:val="left"/>
              <w:rPr>
                <w:rFonts w:ascii="Times New Roman" w:hAnsi="Times New Roman" w:eastAsia="仿宋_GB2312" w:cs="方正仿宋_GBK"/>
                <w:color w:val="auto"/>
                <w:szCs w:val="21"/>
              </w:rPr>
            </w:pPr>
          </w:p>
        </w:tc>
      </w:tr>
      <w:tr w14:paraId="1B3B4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2" w:hRule="atLeast"/>
          <w:jc w:val="center"/>
        </w:trPr>
        <w:tc>
          <w:tcPr>
            <w:tcW w:w="536" w:type="dxa"/>
            <w:vMerge w:val="restart"/>
            <w:vAlign w:val="center"/>
          </w:tcPr>
          <w:p w14:paraId="7DAC0D38">
            <w:pPr>
              <w:autoSpaceDE w:val="0"/>
              <w:autoSpaceDN w:val="0"/>
              <w:spacing w:line="280" w:lineRule="exact"/>
              <w:jc w:val="center"/>
              <w:rPr>
                <w:rFonts w:hint="default" w:ascii="Times New Roman" w:hAnsi="Times New Roman" w:eastAsia="仿宋_GB2312" w:cs="方正仿宋_GBK"/>
                <w:color w:val="auto"/>
                <w:szCs w:val="21"/>
                <w:lang w:val="en-US" w:eastAsia="zh-CN"/>
              </w:rPr>
            </w:pPr>
            <w:r>
              <w:rPr>
                <w:rFonts w:hint="eastAsia" w:ascii="Times New Roman" w:hAnsi="Times New Roman" w:eastAsia="仿宋_GB2312" w:cs="方正仿宋_GBK"/>
                <w:color w:val="auto"/>
                <w:szCs w:val="21"/>
                <w:lang w:val="en-US" w:eastAsia="zh-CN"/>
              </w:rPr>
              <w:t>15</w:t>
            </w:r>
          </w:p>
        </w:tc>
        <w:tc>
          <w:tcPr>
            <w:tcW w:w="1324" w:type="dxa"/>
            <w:vMerge w:val="restart"/>
            <w:vAlign w:val="center"/>
          </w:tcPr>
          <w:p w14:paraId="30129B6A">
            <w:pPr>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对房屋市政工程质量、安全及文明施工情况的行政检查</w:t>
            </w:r>
          </w:p>
        </w:tc>
        <w:tc>
          <w:tcPr>
            <w:tcW w:w="794" w:type="dxa"/>
            <w:vMerge w:val="restart"/>
            <w:vAlign w:val="center"/>
          </w:tcPr>
          <w:p w14:paraId="685F226F">
            <w:pPr>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苏州市相城区住房和城乡建设局</w:t>
            </w:r>
          </w:p>
        </w:tc>
        <w:tc>
          <w:tcPr>
            <w:tcW w:w="872" w:type="dxa"/>
            <w:vMerge w:val="restart"/>
            <w:vAlign w:val="center"/>
          </w:tcPr>
          <w:p w14:paraId="6EF9909E">
            <w:pPr>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相城区建设工程质量安全监督中心</w:t>
            </w:r>
          </w:p>
        </w:tc>
        <w:tc>
          <w:tcPr>
            <w:tcW w:w="869" w:type="dxa"/>
            <w:vAlign w:val="center"/>
          </w:tcPr>
          <w:p w14:paraId="003FBC40">
            <w:pPr>
              <w:widowControl/>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建设</w:t>
            </w:r>
          </w:p>
          <w:p w14:paraId="732752A3">
            <w:pPr>
              <w:widowControl/>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单位</w:t>
            </w:r>
          </w:p>
        </w:tc>
        <w:tc>
          <w:tcPr>
            <w:tcW w:w="4962" w:type="dxa"/>
            <w:vAlign w:val="center"/>
          </w:tcPr>
          <w:p w14:paraId="7FFC817B">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以下的罚款；造成重大安全事故，构成犯罪的，对直接责任人员，依照刑法有关规定追究刑事责任；造成损失的，依法承担赔偿责任：</w:t>
            </w:r>
          </w:p>
          <w:p w14:paraId="1A63A5B4">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（三）将拆除工程发包给不具有相应资质等级的施工单位的。</w:t>
            </w:r>
          </w:p>
          <w:p w14:paraId="4EE6A4B7">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第六十八条　本条例规定的行政处罚，由建设行政主管部门或者其他有关部门依照法定职权决定。违反消防安全管理规定的行为，由公安消防机构依法处罚。有关法律、行政法规对建设工程安全生产违法行为的行政处罚决定机关另有规定的，从其规定。</w:t>
            </w:r>
          </w:p>
        </w:tc>
        <w:tc>
          <w:tcPr>
            <w:tcW w:w="992" w:type="dxa"/>
            <w:vMerge w:val="restart"/>
            <w:vAlign w:val="center"/>
          </w:tcPr>
          <w:p w14:paraId="16AECC91">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现场检查、书面检查</w:t>
            </w:r>
          </w:p>
        </w:tc>
        <w:tc>
          <w:tcPr>
            <w:tcW w:w="1139" w:type="dxa"/>
            <w:vMerge w:val="restart"/>
            <w:vAlign w:val="center"/>
          </w:tcPr>
          <w:p w14:paraId="684CDAA4">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双随机+重点检查</w:t>
            </w:r>
          </w:p>
        </w:tc>
        <w:tc>
          <w:tcPr>
            <w:tcW w:w="1491" w:type="dxa"/>
            <w:vAlign w:val="center"/>
          </w:tcPr>
          <w:p w14:paraId="261A8F28">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320217278000</w:t>
            </w:r>
          </w:p>
        </w:tc>
        <w:tc>
          <w:tcPr>
            <w:tcW w:w="1481" w:type="dxa"/>
            <w:vAlign w:val="center"/>
          </w:tcPr>
          <w:p w14:paraId="5E995066">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对建设单位将拆除工程发包给不具有相应资质等级的施工单位的处罚</w:t>
            </w:r>
          </w:p>
        </w:tc>
        <w:tc>
          <w:tcPr>
            <w:tcW w:w="622" w:type="dxa"/>
            <w:vAlign w:val="center"/>
          </w:tcPr>
          <w:p w14:paraId="66AACA3C">
            <w:pPr>
              <w:widowControl/>
              <w:autoSpaceDE w:val="0"/>
              <w:autoSpaceDN w:val="0"/>
              <w:spacing w:line="280" w:lineRule="exact"/>
              <w:jc w:val="left"/>
              <w:rPr>
                <w:rFonts w:ascii="Times New Roman" w:hAnsi="Times New Roman" w:eastAsia="仿宋_GB2312" w:cs="方正仿宋_GBK"/>
                <w:color w:val="auto"/>
                <w:szCs w:val="21"/>
              </w:rPr>
            </w:pPr>
          </w:p>
        </w:tc>
      </w:tr>
      <w:tr w14:paraId="155C6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6" w:type="dxa"/>
            <w:vMerge w:val="continue"/>
            <w:vAlign w:val="center"/>
          </w:tcPr>
          <w:p w14:paraId="05E66BAF">
            <w:pPr>
              <w:widowControl/>
              <w:autoSpaceDE w:val="0"/>
              <w:autoSpaceDN w:val="0"/>
              <w:spacing w:line="280" w:lineRule="exact"/>
              <w:jc w:val="left"/>
              <w:rPr>
                <w:rFonts w:ascii="Times New Roman" w:hAnsi="Times New Roman" w:eastAsia="仿宋_GB2312" w:cs="方正仿宋_GBK"/>
                <w:color w:val="auto"/>
                <w:szCs w:val="21"/>
              </w:rPr>
            </w:pPr>
          </w:p>
        </w:tc>
        <w:tc>
          <w:tcPr>
            <w:tcW w:w="1324" w:type="dxa"/>
            <w:vMerge w:val="continue"/>
            <w:vAlign w:val="center"/>
          </w:tcPr>
          <w:p w14:paraId="127ACEDB">
            <w:pPr>
              <w:widowControl/>
              <w:autoSpaceDE w:val="0"/>
              <w:autoSpaceDN w:val="0"/>
              <w:spacing w:line="280" w:lineRule="exact"/>
              <w:jc w:val="left"/>
              <w:rPr>
                <w:rFonts w:ascii="Times New Roman" w:hAnsi="Times New Roman" w:eastAsia="仿宋_GB2312" w:cs="方正仿宋_GBK"/>
                <w:color w:val="auto"/>
                <w:szCs w:val="21"/>
              </w:rPr>
            </w:pPr>
          </w:p>
        </w:tc>
        <w:tc>
          <w:tcPr>
            <w:tcW w:w="794" w:type="dxa"/>
            <w:vMerge w:val="continue"/>
            <w:vAlign w:val="center"/>
          </w:tcPr>
          <w:p w14:paraId="72CB1A98">
            <w:pPr>
              <w:widowControl/>
              <w:autoSpaceDE w:val="0"/>
              <w:autoSpaceDN w:val="0"/>
              <w:spacing w:line="280" w:lineRule="exact"/>
              <w:jc w:val="left"/>
              <w:rPr>
                <w:rFonts w:ascii="Times New Roman" w:hAnsi="Times New Roman" w:eastAsia="仿宋_GB2312" w:cs="方正仿宋_GBK"/>
                <w:color w:val="auto"/>
                <w:szCs w:val="21"/>
              </w:rPr>
            </w:pPr>
          </w:p>
        </w:tc>
        <w:tc>
          <w:tcPr>
            <w:tcW w:w="872" w:type="dxa"/>
            <w:vMerge w:val="continue"/>
            <w:vAlign w:val="center"/>
          </w:tcPr>
          <w:p w14:paraId="3A9BC911">
            <w:pPr>
              <w:widowControl/>
              <w:autoSpaceDE w:val="0"/>
              <w:autoSpaceDN w:val="0"/>
              <w:spacing w:line="280" w:lineRule="exact"/>
              <w:jc w:val="left"/>
              <w:rPr>
                <w:rFonts w:ascii="Times New Roman" w:hAnsi="Times New Roman" w:eastAsia="仿宋_GB2312" w:cs="方正仿宋_GBK"/>
                <w:color w:val="auto"/>
                <w:szCs w:val="21"/>
              </w:rPr>
            </w:pPr>
          </w:p>
        </w:tc>
        <w:tc>
          <w:tcPr>
            <w:tcW w:w="869" w:type="dxa"/>
            <w:vAlign w:val="center"/>
          </w:tcPr>
          <w:p w14:paraId="1CBFB1C0">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生产经营单位</w:t>
            </w:r>
          </w:p>
        </w:tc>
        <w:tc>
          <w:tcPr>
            <w:tcW w:w="4962" w:type="dxa"/>
            <w:vAlign w:val="center"/>
          </w:tcPr>
          <w:p w14:paraId="681ACE4E">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【法律】《中华人民共和国安全生产法》</w:t>
            </w:r>
          </w:p>
          <w:p w14:paraId="14DA2189">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第四十一条第一款　生产经营单位应当建立安全风险分级管控制度，按照安全风险分级采取相应的管控措施。</w:t>
            </w:r>
          </w:p>
          <w:p w14:paraId="2034D039">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第二款  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p w14:paraId="4AF1462C">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第九十七条　生产经营单位有下列行为之一的，责令限期改正，处十万元以下的罚款；逾期未改正的，责令停产停业整顿，并处十万元以上二十万元以下的罚款，对其直接负责的主管人员和其他直接责任人员处二万元以上五万元以下的罚款：</w:t>
            </w:r>
          </w:p>
          <w:p w14:paraId="4B21E3A6">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（五）未将事故隐患排查治理情况如实记录或者未向从业人员通报的；</w:t>
            </w:r>
          </w:p>
        </w:tc>
        <w:tc>
          <w:tcPr>
            <w:tcW w:w="992" w:type="dxa"/>
            <w:vMerge w:val="continue"/>
            <w:vAlign w:val="center"/>
          </w:tcPr>
          <w:p w14:paraId="2F211CD7">
            <w:pPr>
              <w:widowControl/>
              <w:autoSpaceDE w:val="0"/>
              <w:autoSpaceDN w:val="0"/>
              <w:spacing w:line="280" w:lineRule="exact"/>
              <w:jc w:val="left"/>
              <w:rPr>
                <w:rFonts w:ascii="Times New Roman" w:hAnsi="Times New Roman" w:eastAsia="仿宋_GB2312" w:cs="方正仿宋_GBK"/>
                <w:color w:val="auto"/>
                <w:szCs w:val="21"/>
              </w:rPr>
            </w:pPr>
          </w:p>
        </w:tc>
        <w:tc>
          <w:tcPr>
            <w:tcW w:w="1139" w:type="dxa"/>
            <w:vMerge w:val="continue"/>
            <w:vAlign w:val="center"/>
          </w:tcPr>
          <w:p w14:paraId="0E102E75">
            <w:pPr>
              <w:widowControl/>
              <w:autoSpaceDE w:val="0"/>
              <w:autoSpaceDN w:val="0"/>
              <w:spacing w:line="280" w:lineRule="exact"/>
              <w:jc w:val="left"/>
              <w:rPr>
                <w:rFonts w:ascii="Times New Roman" w:hAnsi="Times New Roman" w:eastAsia="仿宋_GB2312" w:cs="方正仿宋_GBK"/>
                <w:color w:val="auto"/>
                <w:szCs w:val="21"/>
              </w:rPr>
            </w:pPr>
          </w:p>
        </w:tc>
        <w:tc>
          <w:tcPr>
            <w:tcW w:w="1491" w:type="dxa"/>
            <w:vAlign w:val="center"/>
          </w:tcPr>
          <w:p w14:paraId="6AEBBDB2">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320217274000</w:t>
            </w:r>
          </w:p>
        </w:tc>
        <w:tc>
          <w:tcPr>
            <w:tcW w:w="1481" w:type="dxa"/>
            <w:vAlign w:val="center"/>
          </w:tcPr>
          <w:p w14:paraId="2777AA17">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对生产经营单位未将事故隐患排查治理情况如实记录或者未向从业人员通报的处罚</w:t>
            </w:r>
          </w:p>
        </w:tc>
        <w:tc>
          <w:tcPr>
            <w:tcW w:w="622" w:type="dxa"/>
            <w:vAlign w:val="center"/>
          </w:tcPr>
          <w:p w14:paraId="3F31A1B9">
            <w:pPr>
              <w:widowControl/>
              <w:autoSpaceDE w:val="0"/>
              <w:autoSpaceDN w:val="0"/>
              <w:spacing w:line="280" w:lineRule="exact"/>
              <w:jc w:val="left"/>
              <w:rPr>
                <w:rFonts w:ascii="Times New Roman" w:hAnsi="Times New Roman" w:eastAsia="仿宋_GB2312" w:cs="方正仿宋_GBK"/>
                <w:color w:val="auto"/>
                <w:szCs w:val="21"/>
              </w:rPr>
            </w:pPr>
          </w:p>
        </w:tc>
      </w:tr>
      <w:tr w14:paraId="2C55A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6" w:hRule="atLeast"/>
          <w:jc w:val="center"/>
        </w:trPr>
        <w:tc>
          <w:tcPr>
            <w:tcW w:w="536" w:type="dxa"/>
            <w:vMerge w:val="restart"/>
            <w:vAlign w:val="center"/>
          </w:tcPr>
          <w:p w14:paraId="5D6FF227">
            <w:pPr>
              <w:autoSpaceDE w:val="0"/>
              <w:autoSpaceDN w:val="0"/>
              <w:spacing w:line="280" w:lineRule="exact"/>
              <w:jc w:val="center"/>
              <w:rPr>
                <w:rFonts w:hint="default" w:ascii="Times New Roman" w:hAnsi="Times New Roman" w:eastAsia="仿宋_GB2312" w:cs="方正仿宋_GBK"/>
                <w:color w:val="auto"/>
                <w:szCs w:val="21"/>
                <w:lang w:val="en-US" w:eastAsia="zh-CN"/>
              </w:rPr>
            </w:pPr>
            <w:r>
              <w:rPr>
                <w:rFonts w:hint="eastAsia" w:ascii="Times New Roman" w:hAnsi="Times New Roman" w:eastAsia="仿宋_GB2312" w:cs="方正仿宋_GBK"/>
                <w:color w:val="auto"/>
                <w:szCs w:val="21"/>
                <w:lang w:val="en-US" w:eastAsia="zh-CN"/>
              </w:rPr>
              <w:t>15</w:t>
            </w:r>
          </w:p>
        </w:tc>
        <w:tc>
          <w:tcPr>
            <w:tcW w:w="1324" w:type="dxa"/>
            <w:vMerge w:val="restart"/>
            <w:vAlign w:val="center"/>
          </w:tcPr>
          <w:p w14:paraId="703D592C">
            <w:pPr>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对房屋市政工程质量、安全及文明施工情况的行政检查</w:t>
            </w:r>
          </w:p>
        </w:tc>
        <w:tc>
          <w:tcPr>
            <w:tcW w:w="794" w:type="dxa"/>
            <w:vMerge w:val="restart"/>
            <w:vAlign w:val="center"/>
          </w:tcPr>
          <w:p w14:paraId="4358FB2B">
            <w:pPr>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苏州市相城区住房和城乡建设局</w:t>
            </w:r>
          </w:p>
        </w:tc>
        <w:tc>
          <w:tcPr>
            <w:tcW w:w="872" w:type="dxa"/>
            <w:vMerge w:val="restart"/>
            <w:vAlign w:val="center"/>
          </w:tcPr>
          <w:p w14:paraId="7C155161">
            <w:pPr>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相城区建设工程质量安全监督中心</w:t>
            </w:r>
          </w:p>
        </w:tc>
        <w:tc>
          <w:tcPr>
            <w:tcW w:w="869" w:type="dxa"/>
            <w:vMerge w:val="restart"/>
            <w:vAlign w:val="center"/>
          </w:tcPr>
          <w:p w14:paraId="627A3B73">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生产经营单位</w:t>
            </w:r>
          </w:p>
        </w:tc>
        <w:tc>
          <w:tcPr>
            <w:tcW w:w="4962" w:type="dxa"/>
            <w:vAlign w:val="center"/>
          </w:tcPr>
          <w:p w14:paraId="5B091B6C">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【法律】《中华人民共和国安全生产法》</w:t>
            </w:r>
          </w:p>
          <w:p w14:paraId="39B200D0">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第二十五条　生产经营单位的安全生产管理机构以及安全生产管理人员履行下列职责：</w:t>
            </w:r>
          </w:p>
          <w:p w14:paraId="3779EDC3">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（二）组织或者参与本单位安全生产教育和培训，如实记录安全生产教育和培训情况；</w:t>
            </w:r>
          </w:p>
          <w:p w14:paraId="18F1F569">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第九十七条　生产经营单位有下列行为之一的，责令限期改正，处十万元以下的罚款；逾期未改正的，责令停产停业整顿，并处十万元以上二十万元以下的罚款，对其直接负责的主管人员和其他直接责任人员处二万元以上五万元以下的罚款：</w:t>
            </w:r>
          </w:p>
          <w:p w14:paraId="774904B9">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（四）未如实记录安全生产教育和培训情况的；</w:t>
            </w:r>
          </w:p>
        </w:tc>
        <w:tc>
          <w:tcPr>
            <w:tcW w:w="992" w:type="dxa"/>
            <w:vMerge w:val="restart"/>
            <w:vAlign w:val="center"/>
          </w:tcPr>
          <w:p w14:paraId="7030A493">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现场检查、书面检查</w:t>
            </w:r>
          </w:p>
        </w:tc>
        <w:tc>
          <w:tcPr>
            <w:tcW w:w="1139" w:type="dxa"/>
            <w:vMerge w:val="restart"/>
            <w:vAlign w:val="center"/>
          </w:tcPr>
          <w:p w14:paraId="045DA948">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双随机+重点检查</w:t>
            </w:r>
          </w:p>
        </w:tc>
        <w:tc>
          <w:tcPr>
            <w:tcW w:w="1491" w:type="dxa"/>
            <w:vAlign w:val="center"/>
          </w:tcPr>
          <w:p w14:paraId="5CE5C974">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320217273000</w:t>
            </w:r>
          </w:p>
        </w:tc>
        <w:tc>
          <w:tcPr>
            <w:tcW w:w="1481" w:type="dxa"/>
            <w:vAlign w:val="center"/>
          </w:tcPr>
          <w:p w14:paraId="3DC2C68E">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对生产经营单位未如实记录安全生产教育和培训情况的处罚</w:t>
            </w:r>
          </w:p>
        </w:tc>
        <w:tc>
          <w:tcPr>
            <w:tcW w:w="622" w:type="dxa"/>
            <w:vAlign w:val="center"/>
          </w:tcPr>
          <w:p w14:paraId="766B57E0">
            <w:pPr>
              <w:widowControl/>
              <w:autoSpaceDE w:val="0"/>
              <w:autoSpaceDN w:val="0"/>
              <w:spacing w:line="280" w:lineRule="exact"/>
              <w:jc w:val="left"/>
              <w:rPr>
                <w:rFonts w:ascii="Times New Roman" w:hAnsi="Times New Roman" w:eastAsia="仿宋_GB2312" w:cs="方正仿宋_GBK"/>
                <w:color w:val="auto"/>
                <w:szCs w:val="21"/>
              </w:rPr>
            </w:pPr>
          </w:p>
        </w:tc>
      </w:tr>
      <w:tr w14:paraId="6D0E4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6" w:type="dxa"/>
            <w:vMerge w:val="continue"/>
            <w:vAlign w:val="center"/>
          </w:tcPr>
          <w:p w14:paraId="3C3BDAB6">
            <w:pPr>
              <w:widowControl/>
              <w:autoSpaceDE w:val="0"/>
              <w:autoSpaceDN w:val="0"/>
              <w:spacing w:line="280" w:lineRule="exact"/>
              <w:jc w:val="left"/>
              <w:rPr>
                <w:rFonts w:ascii="Times New Roman" w:hAnsi="Times New Roman" w:eastAsia="仿宋_GB2312" w:cs="方正仿宋_GBK"/>
                <w:color w:val="auto"/>
                <w:szCs w:val="21"/>
              </w:rPr>
            </w:pPr>
          </w:p>
        </w:tc>
        <w:tc>
          <w:tcPr>
            <w:tcW w:w="1324" w:type="dxa"/>
            <w:vMerge w:val="continue"/>
            <w:vAlign w:val="center"/>
          </w:tcPr>
          <w:p w14:paraId="47B158D7">
            <w:pPr>
              <w:widowControl/>
              <w:autoSpaceDE w:val="0"/>
              <w:autoSpaceDN w:val="0"/>
              <w:spacing w:line="280" w:lineRule="exact"/>
              <w:jc w:val="left"/>
              <w:rPr>
                <w:rFonts w:ascii="Times New Roman" w:hAnsi="Times New Roman" w:eastAsia="仿宋_GB2312" w:cs="方正仿宋_GBK"/>
                <w:color w:val="auto"/>
                <w:szCs w:val="21"/>
              </w:rPr>
            </w:pPr>
          </w:p>
        </w:tc>
        <w:tc>
          <w:tcPr>
            <w:tcW w:w="794" w:type="dxa"/>
            <w:vMerge w:val="continue"/>
            <w:vAlign w:val="center"/>
          </w:tcPr>
          <w:p w14:paraId="59257C8E">
            <w:pPr>
              <w:widowControl/>
              <w:autoSpaceDE w:val="0"/>
              <w:autoSpaceDN w:val="0"/>
              <w:spacing w:line="280" w:lineRule="exact"/>
              <w:jc w:val="left"/>
              <w:rPr>
                <w:rFonts w:ascii="Times New Roman" w:hAnsi="Times New Roman" w:eastAsia="仿宋_GB2312" w:cs="方正仿宋_GBK"/>
                <w:color w:val="auto"/>
                <w:szCs w:val="21"/>
              </w:rPr>
            </w:pPr>
          </w:p>
        </w:tc>
        <w:tc>
          <w:tcPr>
            <w:tcW w:w="872" w:type="dxa"/>
            <w:vMerge w:val="continue"/>
            <w:vAlign w:val="center"/>
          </w:tcPr>
          <w:p w14:paraId="378BA978">
            <w:pPr>
              <w:widowControl/>
              <w:autoSpaceDE w:val="0"/>
              <w:autoSpaceDN w:val="0"/>
              <w:spacing w:line="280" w:lineRule="exact"/>
              <w:jc w:val="left"/>
              <w:rPr>
                <w:rFonts w:ascii="Times New Roman" w:hAnsi="Times New Roman" w:eastAsia="仿宋_GB2312" w:cs="方正仿宋_GBK"/>
                <w:color w:val="auto"/>
                <w:szCs w:val="21"/>
              </w:rPr>
            </w:pPr>
          </w:p>
        </w:tc>
        <w:tc>
          <w:tcPr>
            <w:tcW w:w="869" w:type="dxa"/>
            <w:vMerge w:val="continue"/>
            <w:vAlign w:val="center"/>
          </w:tcPr>
          <w:p w14:paraId="4CC2CAB6">
            <w:pPr>
              <w:widowControl/>
              <w:autoSpaceDE w:val="0"/>
              <w:autoSpaceDN w:val="0"/>
              <w:spacing w:line="280" w:lineRule="exact"/>
              <w:jc w:val="left"/>
              <w:rPr>
                <w:rFonts w:ascii="Times New Roman" w:hAnsi="Times New Roman" w:eastAsia="仿宋_GB2312" w:cs="方正仿宋_GBK"/>
                <w:color w:val="auto"/>
                <w:szCs w:val="21"/>
              </w:rPr>
            </w:pPr>
          </w:p>
        </w:tc>
        <w:tc>
          <w:tcPr>
            <w:tcW w:w="4962" w:type="dxa"/>
            <w:vAlign w:val="center"/>
          </w:tcPr>
          <w:p w14:paraId="17D8B134">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【法律】《中华人民共和国安全生产法》</w:t>
            </w:r>
          </w:p>
          <w:p w14:paraId="2A2A6D83">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第七十条第一款　负有安全生产监督管理职责的部门依法对存在重大事故隐患的生产经营单位作出停产停业、停止施工、停止使用相关设施或者设备的决定，生产经营单位应当依法执行，及时消除事故隐患。生产经营单位拒不执行，有发生生产安全事故的现实危险的，在保证安全的前提下，经本部门主要负责人批准，负有安全生产监督管理职责的部门可以采取通知有关单位停止供电、停止供应民用爆炸物品等措施，强制生产经营单位履行决定。通知应当采用书面形式，有关单位应当予以配合。</w:t>
            </w:r>
          </w:p>
          <w:p w14:paraId="1D72B301">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第一百零二条　生产经营单位未采取措施消除事故隐患的，责令立即消除或者限期消除，处五万元以下的罚款；生产经营单位拒不执行的，责令停产停业整顿，对其直接负责的主管人员和其他直接责任人员处五万元以上十万元以下的罚款；构成犯罪的，依照刑法有关规定追究刑事责任。</w:t>
            </w:r>
          </w:p>
        </w:tc>
        <w:tc>
          <w:tcPr>
            <w:tcW w:w="992" w:type="dxa"/>
            <w:vMerge w:val="continue"/>
            <w:vAlign w:val="center"/>
          </w:tcPr>
          <w:p w14:paraId="65E5FDD8">
            <w:pPr>
              <w:widowControl/>
              <w:autoSpaceDE w:val="0"/>
              <w:autoSpaceDN w:val="0"/>
              <w:spacing w:line="280" w:lineRule="exact"/>
              <w:jc w:val="left"/>
              <w:rPr>
                <w:rFonts w:ascii="Times New Roman" w:hAnsi="Times New Roman" w:eastAsia="仿宋_GB2312" w:cs="方正仿宋_GBK"/>
                <w:color w:val="auto"/>
                <w:szCs w:val="21"/>
              </w:rPr>
            </w:pPr>
          </w:p>
        </w:tc>
        <w:tc>
          <w:tcPr>
            <w:tcW w:w="1139" w:type="dxa"/>
            <w:vMerge w:val="continue"/>
            <w:vAlign w:val="center"/>
          </w:tcPr>
          <w:p w14:paraId="425D3972">
            <w:pPr>
              <w:widowControl/>
              <w:autoSpaceDE w:val="0"/>
              <w:autoSpaceDN w:val="0"/>
              <w:spacing w:line="280" w:lineRule="exact"/>
              <w:jc w:val="left"/>
              <w:rPr>
                <w:rFonts w:ascii="Times New Roman" w:hAnsi="Times New Roman" w:eastAsia="仿宋_GB2312" w:cs="方正仿宋_GBK"/>
                <w:color w:val="auto"/>
                <w:szCs w:val="21"/>
              </w:rPr>
            </w:pPr>
          </w:p>
        </w:tc>
        <w:tc>
          <w:tcPr>
            <w:tcW w:w="1491" w:type="dxa"/>
            <w:vAlign w:val="center"/>
          </w:tcPr>
          <w:p w14:paraId="3A1E9AA3">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320217151000</w:t>
            </w:r>
          </w:p>
        </w:tc>
        <w:tc>
          <w:tcPr>
            <w:tcW w:w="1481" w:type="dxa"/>
            <w:vAlign w:val="center"/>
          </w:tcPr>
          <w:p w14:paraId="3DC856E3">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对生产经营单位未采取措施消除事故隐患的处罚</w:t>
            </w:r>
          </w:p>
        </w:tc>
        <w:tc>
          <w:tcPr>
            <w:tcW w:w="622" w:type="dxa"/>
            <w:vAlign w:val="center"/>
          </w:tcPr>
          <w:p w14:paraId="77C646A4">
            <w:pPr>
              <w:widowControl/>
              <w:autoSpaceDE w:val="0"/>
              <w:autoSpaceDN w:val="0"/>
              <w:spacing w:line="280" w:lineRule="exact"/>
              <w:jc w:val="left"/>
              <w:rPr>
                <w:rFonts w:ascii="Times New Roman" w:hAnsi="Times New Roman" w:eastAsia="仿宋_GB2312" w:cs="方正仿宋_GBK"/>
                <w:color w:val="auto"/>
                <w:szCs w:val="21"/>
              </w:rPr>
            </w:pPr>
          </w:p>
        </w:tc>
      </w:tr>
      <w:tr w14:paraId="6635B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6" w:type="dxa"/>
            <w:vMerge w:val="restart"/>
            <w:vAlign w:val="center"/>
          </w:tcPr>
          <w:p w14:paraId="47EAEEB0">
            <w:pPr>
              <w:autoSpaceDE w:val="0"/>
              <w:autoSpaceDN w:val="0"/>
              <w:spacing w:line="280" w:lineRule="exact"/>
              <w:jc w:val="center"/>
              <w:rPr>
                <w:rFonts w:hint="default" w:ascii="Times New Roman" w:hAnsi="Times New Roman" w:eastAsia="仿宋_GB2312" w:cs="方正仿宋_GBK"/>
                <w:color w:val="auto"/>
                <w:szCs w:val="21"/>
                <w:lang w:val="en-US" w:eastAsia="zh-CN"/>
              </w:rPr>
            </w:pPr>
            <w:r>
              <w:rPr>
                <w:rFonts w:hint="eastAsia" w:ascii="Times New Roman" w:hAnsi="Times New Roman" w:eastAsia="仿宋_GB2312" w:cs="方正仿宋_GBK"/>
                <w:color w:val="auto"/>
                <w:szCs w:val="21"/>
                <w:lang w:val="en-US" w:eastAsia="zh-CN"/>
              </w:rPr>
              <w:t>15</w:t>
            </w:r>
          </w:p>
        </w:tc>
        <w:tc>
          <w:tcPr>
            <w:tcW w:w="1324" w:type="dxa"/>
            <w:vMerge w:val="restart"/>
            <w:vAlign w:val="center"/>
          </w:tcPr>
          <w:p w14:paraId="69D274FA">
            <w:pPr>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对房屋市政工程质量、安全及文明施工情况的行政检查</w:t>
            </w:r>
          </w:p>
        </w:tc>
        <w:tc>
          <w:tcPr>
            <w:tcW w:w="794" w:type="dxa"/>
            <w:vMerge w:val="restart"/>
            <w:vAlign w:val="center"/>
          </w:tcPr>
          <w:p w14:paraId="72F39ED2">
            <w:pPr>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苏州市相城区住房和城乡建设局</w:t>
            </w:r>
          </w:p>
        </w:tc>
        <w:tc>
          <w:tcPr>
            <w:tcW w:w="872" w:type="dxa"/>
            <w:vMerge w:val="restart"/>
            <w:vAlign w:val="center"/>
          </w:tcPr>
          <w:p w14:paraId="2679A051">
            <w:pPr>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相城区建设工程质量安全监督中心</w:t>
            </w:r>
          </w:p>
        </w:tc>
        <w:tc>
          <w:tcPr>
            <w:tcW w:w="869" w:type="dxa"/>
            <w:vMerge w:val="restart"/>
            <w:vAlign w:val="center"/>
          </w:tcPr>
          <w:p w14:paraId="4133F7AE">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生产经营单位</w:t>
            </w:r>
          </w:p>
        </w:tc>
        <w:tc>
          <w:tcPr>
            <w:tcW w:w="4962" w:type="dxa"/>
            <w:vAlign w:val="center"/>
          </w:tcPr>
          <w:p w14:paraId="37106296">
            <w:pPr>
              <w:widowControl/>
              <w:autoSpaceDE w:val="0"/>
              <w:autoSpaceDN w:val="0"/>
              <w:spacing w:line="25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【法律】《中华人民共和国建筑法》</w:t>
            </w:r>
          </w:p>
          <w:p w14:paraId="1CEA7068">
            <w:pPr>
              <w:widowControl/>
              <w:autoSpaceDE w:val="0"/>
              <w:autoSpaceDN w:val="0"/>
              <w:spacing w:line="25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第七十一条第一款　建筑施工企业违反本法规定，对建筑安全事故隐患不采取措施予以消除的，责令改正，可以处以罚款；情节严重的，责令停业整顿，降低资质等级或者吊销资质证书；构成犯罪的，依法追究刑事责任。</w:t>
            </w:r>
          </w:p>
          <w:p w14:paraId="76ED384A">
            <w:pPr>
              <w:widowControl/>
              <w:autoSpaceDE w:val="0"/>
              <w:autoSpaceDN w:val="0"/>
              <w:spacing w:line="25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第七十六条　本法规定的责令停业整顿、降低资质等级和吊销资质证书的行政处罚，由颁发资质证书的机关决定；其他行政处罚，由建设行政主管部门或者有关部门依照法律和国务院规定的职权范围决定。</w:t>
            </w:r>
          </w:p>
          <w:p w14:paraId="613650FB">
            <w:pPr>
              <w:widowControl/>
              <w:autoSpaceDE w:val="0"/>
              <w:autoSpaceDN w:val="0"/>
              <w:spacing w:line="25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依照本法规定被吊销资质证书的，由工商行政管理部门吊销其营业执照。</w:t>
            </w:r>
          </w:p>
        </w:tc>
        <w:tc>
          <w:tcPr>
            <w:tcW w:w="992" w:type="dxa"/>
            <w:vMerge w:val="restart"/>
            <w:vAlign w:val="center"/>
          </w:tcPr>
          <w:p w14:paraId="01641ABE">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现场检查、书面检查</w:t>
            </w:r>
          </w:p>
        </w:tc>
        <w:tc>
          <w:tcPr>
            <w:tcW w:w="1139" w:type="dxa"/>
            <w:vMerge w:val="restart"/>
            <w:vAlign w:val="center"/>
          </w:tcPr>
          <w:p w14:paraId="24AEB4E4">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双随机+重点检查</w:t>
            </w:r>
          </w:p>
        </w:tc>
        <w:tc>
          <w:tcPr>
            <w:tcW w:w="1491" w:type="dxa"/>
            <w:vAlign w:val="center"/>
          </w:tcPr>
          <w:p w14:paraId="3A322BA4">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320217151000</w:t>
            </w:r>
          </w:p>
        </w:tc>
        <w:tc>
          <w:tcPr>
            <w:tcW w:w="1481" w:type="dxa"/>
            <w:vAlign w:val="center"/>
          </w:tcPr>
          <w:p w14:paraId="5ECA090D">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对生产经营单位未采取措施消除事故隐患的处罚</w:t>
            </w:r>
          </w:p>
        </w:tc>
        <w:tc>
          <w:tcPr>
            <w:tcW w:w="622" w:type="dxa"/>
            <w:vAlign w:val="center"/>
          </w:tcPr>
          <w:p w14:paraId="2B3D5DDF">
            <w:pPr>
              <w:widowControl/>
              <w:autoSpaceDE w:val="0"/>
              <w:autoSpaceDN w:val="0"/>
              <w:spacing w:line="280" w:lineRule="exact"/>
              <w:jc w:val="left"/>
              <w:rPr>
                <w:rFonts w:ascii="Times New Roman" w:hAnsi="Times New Roman" w:eastAsia="仿宋_GB2312" w:cs="方正仿宋_GBK"/>
                <w:color w:val="auto"/>
                <w:szCs w:val="21"/>
              </w:rPr>
            </w:pPr>
          </w:p>
        </w:tc>
      </w:tr>
      <w:tr w14:paraId="28196C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6" w:type="dxa"/>
            <w:vMerge w:val="continue"/>
            <w:vAlign w:val="center"/>
          </w:tcPr>
          <w:p w14:paraId="7C492530">
            <w:pPr>
              <w:autoSpaceDE w:val="0"/>
              <w:autoSpaceDN w:val="0"/>
              <w:spacing w:line="280" w:lineRule="exact"/>
              <w:jc w:val="center"/>
              <w:rPr>
                <w:rFonts w:ascii="Times New Roman" w:hAnsi="Times New Roman" w:eastAsia="仿宋_GB2312" w:cs="方正仿宋_GBK"/>
                <w:color w:val="auto"/>
                <w:szCs w:val="21"/>
              </w:rPr>
            </w:pPr>
          </w:p>
        </w:tc>
        <w:tc>
          <w:tcPr>
            <w:tcW w:w="1324" w:type="dxa"/>
            <w:vMerge w:val="continue"/>
            <w:vAlign w:val="center"/>
          </w:tcPr>
          <w:p w14:paraId="0E66A4A6">
            <w:pPr>
              <w:autoSpaceDE w:val="0"/>
              <w:autoSpaceDN w:val="0"/>
              <w:spacing w:line="280" w:lineRule="exact"/>
              <w:jc w:val="left"/>
              <w:rPr>
                <w:rFonts w:ascii="Times New Roman" w:hAnsi="Times New Roman" w:eastAsia="仿宋_GB2312" w:cs="方正仿宋_GBK"/>
                <w:color w:val="auto"/>
                <w:szCs w:val="21"/>
              </w:rPr>
            </w:pPr>
          </w:p>
        </w:tc>
        <w:tc>
          <w:tcPr>
            <w:tcW w:w="794" w:type="dxa"/>
            <w:vMerge w:val="continue"/>
            <w:vAlign w:val="center"/>
          </w:tcPr>
          <w:p w14:paraId="4D56826D">
            <w:pPr>
              <w:autoSpaceDE w:val="0"/>
              <w:autoSpaceDN w:val="0"/>
              <w:spacing w:line="280" w:lineRule="exact"/>
              <w:jc w:val="center"/>
              <w:rPr>
                <w:rFonts w:ascii="Times New Roman" w:hAnsi="Times New Roman" w:eastAsia="仿宋_GB2312" w:cs="方正仿宋_GBK"/>
                <w:color w:val="auto"/>
                <w:szCs w:val="21"/>
              </w:rPr>
            </w:pPr>
          </w:p>
        </w:tc>
        <w:tc>
          <w:tcPr>
            <w:tcW w:w="872" w:type="dxa"/>
            <w:vMerge w:val="continue"/>
            <w:vAlign w:val="center"/>
          </w:tcPr>
          <w:p w14:paraId="2253986C">
            <w:pPr>
              <w:autoSpaceDE w:val="0"/>
              <w:autoSpaceDN w:val="0"/>
              <w:spacing w:line="280" w:lineRule="exact"/>
              <w:jc w:val="center"/>
              <w:rPr>
                <w:rFonts w:ascii="Times New Roman" w:hAnsi="Times New Roman" w:eastAsia="仿宋_GB2312" w:cs="方正仿宋_GBK"/>
                <w:color w:val="auto"/>
                <w:szCs w:val="21"/>
              </w:rPr>
            </w:pPr>
          </w:p>
        </w:tc>
        <w:tc>
          <w:tcPr>
            <w:tcW w:w="869" w:type="dxa"/>
            <w:vMerge w:val="continue"/>
            <w:vAlign w:val="center"/>
          </w:tcPr>
          <w:p w14:paraId="2E4B2584">
            <w:pPr>
              <w:widowControl/>
              <w:autoSpaceDE w:val="0"/>
              <w:autoSpaceDN w:val="0"/>
              <w:spacing w:line="280" w:lineRule="exact"/>
              <w:jc w:val="left"/>
              <w:rPr>
                <w:rFonts w:ascii="Times New Roman" w:hAnsi="Times New Roman" w:eastAsia="仿宋_GB2312" w:cs="方正仿宋_GBK"/>
                <w:color w:val="auto"/>
                <w:szCs w:val="21"/>
              </w:rPr>
            </w:pPr>
          </w:p>
        </w:tc>
        <w:tc>
          <w:tcPr>
            <w:tcW w:w="4962" w:type="dxa"/>
            <w:vAlign w:val="center"/>
          </w:tcPr>
          <w:p w14:paraId="513661A2">
            <w:pPr>
              <w:widowControl/>
              <w:autoSpaceDE w:val="0"/>
              <w:autoSpaceDN w:val="0"/>
              <w:spacing w:line="25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【法律】《中华人民共和国安全生产法》</w:t>
            </w:r>
          </w:p>
          <w:p w14:paraId="5F5A0819">
            <w:pPr>
              <w:widowControl/>
              <w:autoSpaceDE w:val="0"/>
              <w:autoSpaceDN w:val="0"/>
              <w:spacing w:line="25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第四十一条第二款  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p w14:paraId="1F69B66B">
            <w:pPr>
              <w:widowControl/>
              <w:autoSpaceDE w:val="0"/>
              <w:autoSpaceDN w:val="0"/>
              <w:spacing w:line="25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第一百零一条　生产经营单位有下列行为之一的，责令限期改正，处十万元以下的罚款；逾期未改正的，责令停产停业整顿，并处十万元以上二十万元以下的罚款，对其直接负责的主管人员和其他直接责任人员处二万元以上五万元以下的罚款；构成犯罪的，依照刑法有关规定追究刑事责任：</w:t>
            </w:r>
          </w:p>
          <w:p w14:paraId="639D09DE">
            <w:pPr>
              <w:widowControl/>
              <w:autoSpaceDE w:val="0"/>
              <w:autoSpaceDN w:val="0"/>
              <w:spacing w:line="25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（五）未建立事故隐患排查治理制度，或者重大事故隐患排查治理情况未按照规定报告的。</w:t>
            </w:r>
          </w:p>
          <w:p w14:paraId="59C949FB">
            <w:pPr>
              <w:widowControl/>
              <w:autoSpaceDE w:val="0"/>
              <w:autoSpaceDN w:val="0"/>
              <w:spacing w:line="25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第一百一十二条  生产经营单位违反本法规定，被责令改正且受到罚款处罚，拒不改正的，负有安全生产监督管理职责的部门可以自作出责令改正之日的次日起，按照原处罚数额按日连续处罚。</w:t>
            </w:r>
          </w:p>
        </w:tc>
        <w:tc>
          <w:tcPr>
            <w:tcW w:w="992" w:type="dxa"/>
            <w:vMerge w:val="continue"/>
            <w:vAlign w:val="center"/>
          </w:tcPr>
          <w:p w14:paraId="30560A75">
            <w:pPr>
              <w:widowControl/>
              <w:autoSpaceDE w:val="0"/>
              <w:autoSpaceDN w:val="0"/>
              <w:spacing w:line="280" w:lineRule="exact"/>
              <w:jc w:val="left"/>
              <w:rPr>
                <w:rFonts w:ascii="Times New Roman" w:hAnsi="Times New Roman" w:eastAsia="仿宋_GB2312" w:cs="方正仿宋_GBK"/>
                <w:color w:val="auto"/>
                <w:szCs w:val="21"/>
              </w:rPr>
            </w:pPr>
          </w:p>
        </w:tc>
        <w:tc>
          <w:tcPr>
            <w:tcW w:w="1139" w:type="dxa"/>
            <w:vMerge w:val="continue"/>
            <w:vAlign w:val="center"/>
          </w:tcPr>
          <w:p w14:paraId="4A275B2D">
            <w:pPr>
              <w:widowControl/>
              <w:autoSpaceDE w:val="0"/>
              <w:autoSpaceDN w:val="0"/>
              <w:spacing w:line="280" w:lineRule="exact"/>
              <w:jc w:val="left"/>
              <w:rPr>
                <w:rFonts w:ascii="Times New Roman" w:hAnsi="Times New Roman" w:eastAsia="仿宋_GB2312" w:cs="方正仿宋_GBK"/>
                <w:color w:val="auto"/>
                <w:szCs w:val="21"/>
              </w:rPr>
            </w:pPr>
          </w:p>
        </w:tc>
        <w:tc>
          <w:tcPr>
            <w:tcW w:w="1491" w:type="dxa"/>
            <w:vAlign w:val="center"/>
          </w:tcPr>
          <w:p w14:paraId="41371A2A">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320217150000</w:t>
            </w:r>
          </w:p>
        </w:tc>
        <w:tc>
          <w:tcPr>
            <w:tcW w:w="1481" w:type="dxa"/>
            <w:vAlign w:val="center"/>
          </w:tcPr>
          <w:p w14:paraId="5CF773A1">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对生产经营单位未建立事故隐患排查治理制度，或者重大事故隐患排查治理情况未按照规定报告的处罚</w:t>
            </w:r>
          </w:p>
        </w:tc>
        <w:tc>
          <w:tcPr>
            <w:tcW w:w="622" w:type="dxa"/>
            <w:vAlign w:val="center"/>
          </w:tcPr>
          <w:p w14:paraId="33949C16">
            <w:pPr>
              <w:widowControl/>
              <w:autoSpaceDE w:val="0"/>
              <w:autoSpaceDN w:val="0"/>
              <w:spacing w:line="280" w:lineRule="exact"/>
              <w:jc w:val="left"/>
              <w:rPr>
                <w:rFonts w:ascii="Times New Roman" w:hAnsi="Times New Roman" w:eastAsia="仿宋_GB2312" w:cs="方正仿宋_GBK"/>
                <w:color w:val="auto"/>
                <w:szCs w:val="21"/>
              </w:rPr>
            </w:pPr>
          </w:p>
        </w:tc>
      </w:tr>
      <w:tr w14:paraId="25F69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1" w:hRule="atLeast"/>
          <w:jc w:val="center"/>
        </w:trPr>
        <w:tc>
          <w:tcPr>
            <w:tcW w:w="536" w:type="dxa"/>
            <w:vMerge w:val="restart"/>
            <w:vAlign w:val="center"/>
          </w:tcPr>
          <w:p w14:paraId="29066681">
            <w:pPr>
              <w:autoSpaceDE w:val="0"/>
              <w:autoSpaceDN w:val="0"/>
              <w:spacing w:line="280" w:lineRule="exact"/>
              <w:jc w:val="center"/>
              <w:rPr>
                <w:rFonts w:hint="default" w:ascii="Times New Roman" w:hAnsi="Times New Roman" w:eastAsia="仿宋_GB2312" w:cs="方正仿宋_GBK"/>
                <w:color w:val="auto"/>
                <w:szCs w:val="21"/>
                <w:lang w:val="en-US" w:eastAsia="zh-CN"/>
              </w:rPr>
            </w:pPr>
            <w:r>
              <w:rPr>
                <w:rFonts w:hint="eastAsia" w:ascii="Times New Roman" w:hAnsi="Times New Roman" w:eastAsia="仿宋_GB2312" w:cs="方正仿宋_GBK"/>
                <w:color w:val="auto"/>
                <w:szCs w:val="21"/>
                <w:lang w:val="en-US" w:eastAsia="zh-CN"/>
              </w:rPr>
              <w:t>15</w:t>
            </w:r>
          </w:p>
        </w:tc>
        <w:tc>
          <w:tcPr>
            <w:tcW w:w="1324" w:type="dxa"/>
            <w:vMerge w:val="restart"/>
            <w:vAlign w:val="center"/>
          </w:tcPr>
          <w:p w14:paraId="698AA449">
            <w:pPr>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对房屋市政工程质量、安全及文明施工情况的行政检查</w:t>
            </w:r>
          </w:p>
        </w:tc>
        <w:tc>
          <w:tcPr>
            <w:tcW w:w="794" w:type="dxa"/>
            <w:vMerge w:val="restart"/>
            <w:vAlign w:val="center"/>
          </w:tcPr>
          <w:p w14:paraId="1B2E3D6D">
            <w:pPr>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苏州市相城区住房和城乡建设局</w:t>
            </w:r>
          </w:p>
        </w:tc>
        <w:tc>
          <w:tcPr>
            <w:tcW w:w="872" w:type="dxa"/>
            <w:vMerge w:val="restart"/>
            <w:vAlign w:val="center"/>
          </w:tcPr>
          <w:p w14:paraId="5602FA0E">
            <w:pPr>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相城区建设工程质量安全监督中心</w:t>
            </w:r>
          </w:p>
        </w:tc>
        <w:tc>
          <w:tcPr>
            <w:tcW w:w="869" w:type="dxa"/>
            <w:vAlign w:val="center"/>
          </w:tcPr>
          <w:p w14:paraId="48D67094">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生产经营单位</w:t>
            </w:r>
          </w:p>
        </w:tc>
        <w:tc>
          <w:tcPr>
            <w:tcW w:w="4962" w:type="dxa"/>
            <w:vAlign w:val="center"/>
          </w:tcPr>
          <w:p w14:paraId="2941DDDF">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【法律】《中华人民共和国安全生产法》</w:t>
            </w:r>
          </w:p>
          <w:p w14:paraId="29359A60">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第三十六条第二款  生产经营单位必须对安全设备进行经常性维护、保养，并定期检测，保证正常运转。维护、保养、检测应当作好记录，并由有关人员签字。</w:t>
            </w:r>
          </w:p>
          <w:p w14:paraId="4D1862C0">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第九十九条　生产经营单位有下列行为之一的，责令限期改正，处五万元以下的罚款；逾期未改正的，处五万元以上二十万元以下的罚款，对其直接负责的主管人员和其他直接责任人员处一万元以上二万元以下的罚款；情节严重的，责令停产停业整顿；构成犯罪的，依照刑法有关规定追究刑事责任：</w:t>
            </w:r>
          </w:p>
          <w:p w14:paraId="24CA6A39">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（三）未对安全设备进行经常性维护、保养和定期检测的；</w:t>
            </w:r>
          </w:p>
        </w:tc>
        <w:tc>
          <w:tcPr>
            <w:tcW w:w="992" w:type="dxa"/>
            <w:vMerge w:val="restart"/>
            <w:vAlign w:val="center"/>
          </w:tcPr>
          <w:p w14:paraId="175A8D40">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现场检查、书面检查</w:t>
            </w:r>
          </w:p>
        </w:tc>
        <w:tc>
          <w:tcPr>
            <w:tcW w:w="1139" w:type="dxa"/>
            <w:vMerge w:val="restart"/>
            <w:vAlign w:val="center"/>
          </w:tcPr>
          <w:p w14:paraId="16CE0084">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双随机+重点检查</w:t>
            </w:r>
          </w:p>
        </w:tc>
        <w:tc>
          <w:tcPr>
            <w:tcW w:w="1491" w:type="dxa"/>
            <w:vAlign w:val="center"/>
          </w:tcPr>
          <w:p w14:paraId="04AF50B9">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320217149000</w:t>
            </w:r>
          </w:p>
        </w:tc>
        <w:tc>
          <w:tcPr>
            <w:tcW w:w="1481" w:type="dxa"/>
            <w:vAlign w:val="center"/>
          </w:tcPr>
          <w:p w14:paraId="32617D57">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对生产经营单位未对安全设备进行经常性维护、保养和定期检测的处罚</w:t>
            </w:r>
          </w:p>
        </w:tc>
        <w:tc>
          <w:tcPr>
            <w:tcW w:w="622" w:type="dxa"/>
            <w:vAlign w:val="center"/>
          </w:tcPr>
          <w:p w14:paraId="0861C3BD">
            <w:pPr>
              <w:widowControl/>
              <w:autoSpaceDE w:val="0"/>
              <w:autoSpaceDN w:val="0"/>
              <w:spacing w:line="280" w:lineRule="exact"/>
              <w:jc w:val="left"/>
              <w:rPr>
                <w:rFonts w:ascii="Times New Roman" w:hAnsi="Times New Roman" w:eastAsia="仿宋_GB2312" w:cs="方正仿宋_GBK"/>
                <w:color w:val="auto"/>
                <w:szCs w:val="21"/>
              </w:rPr>
            </w:pPr>
          </w:p>
        </w:tc>
      </w:tr>
      <w:tr w14:paraId="223E2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8" w:hRule="atLeast"/>
          <w:jc w:val="center"/>
        </w:trPr>
        <w:tc>
          <w:tcPr>
            <w:tcW w:w="536" w:type="dxa"/>
            <w:vMerge w:val="continue"/>
            <w:vAlign w:val="center"/>
          </w:tcPr>
          <w:p w14:paraId="32703A51">
            <w:pPr>
              <w:widowControl/>
              <w:autoSpaceDE w:val="0"/>
              <w:autoSpaceDN w:val="0"/>
              <w:spacing w:line="280" w:lineRule="exact"/>
              <w:jc w:val="left"/>
              <w:rPr>
                <w:rFonts w:ascii="Times New Roman" w:hAnsi="Times New Roman" w:eastAsia="仿宋_GB2312" w:cs="方正仿宋_GBK"/>
                <w:color w:val="auto"/>
                <w:szCs w:val="21"/>
              </w:rPr>
            </w:pPr>
          </w:p>
        </w:tc>
        <w:tc>
          <w:tcPr>
            <w:tcW w:w="1324" w:type="dxa"/>
            <w:vMerge w:val="continue"/>
            <w:vAlign w:val="center"/>
          </w:tcPr>
          <w:p w14:paraId="47BC98F2">
            <w:pPr>
              <w:widowControl/>
              <w:autoSpaceDE w:val="0"/>
              <w:autoSpaceDN w:val="0"/>
              <w:spacing w:line="280" w:lineRule="exact"/>
              <w:jc w:val="left"/>
              <w:rPr>
                <w:rFonts w:ascii="Times New Roman" w:hAnsi="Times New Roman" w:eastAsia="仿宋_GB2312" w:cs="方正仿宋_GBK"/>
                <w:color w:val="auto"/>
                <w:szCs w:val="21"/>
              </w:rPr>
            </w:pPr>
          </w:p>
        </w:tc>
        <w:tc>
          <w:tcPr>
            <w:tcW w:w="794" w:type="dxa"/>
            <w:vMerge w:val="continue"/>
            <w:vAlign w:val="center"/>
          </w:tcPr>
          <w:p w14:paraId="131F42DD">
            <w:pPr>
              <w:widowControl/>
              <w:autoSpaceDE w:val="0"/>
              <w:autoSpaceDN w:val="0"/>
              <w:spacing w:line="280" w:lineRule="exact"/>
              <w:jc w:val="left"/>
              <w:rPr>
                <w:rFonts w:ascii="Times New Roman" w:hAnsi="Times New Roman" w:eastAsia="仿宋_GB2312" w:cs="方正仿宋_GBK"/>
                <w:color w:val="auto"/>
                <w:szCs w:val="21"/>
              </w:rPr>
            </w:pPr>
          </w:p>
        </w:tc>
        <w:tc>
          <w:tcPr>
            <w:tcW w:w="872" w:type="dxa"/>
            <w:vMerge w:val="continue"/>
            <w:vAlign w:val="center"/>
          </w:tcPr>
          <w:p w14:paraId="11183E73">
            <w:pPr>
              <w:widowControl/>
              <w:autoSpaceDE w:val="0"/>
              <w:autoSpaceDN w:val="0"/>
              <w:spacing w:line="280" w:lineRule="exact"/>
              <w:jc w:val="left"/>
              <w:rPr>
                <w:rFonts w:ascii="Times New Roman" w:hAnsi="Times New Roman" w:eastAsia="仿宋_GB2312" w:cs="方正仿宋_GBK"/>
                <w:color w:val="auto"/>
                <w:szCs w:val="21"/>
              </w:rPr>
            </w:pPr>
          </w:p>
        </w:tc>
        <w:tc>
          <w:tcPr>
            <w:tcW w:w="869" w:type="dxa"/>
            <w:vAlign w:val="center"/>
          </w:tcPr>
          <w:p w14:paraId="7BE963C5">
            <w:pPr>
              <w:widowControl/>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施工</w:t>
            </w:r>
          </w:p>
          <w:p w14:paraId="7BD8C05D">
            <w:pPr>
              <w:widowControl/>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单位</w:t>
            </w:r>
          </w:p>
        </w:tc>
        <w:tc>
          <w:tcPr>
            <w:tcW w:w="4962" w:type="dxa"/>
            <w:vAlign w:val="center"/>
          </w:tcPr>
          <w:p w14:paraId="5C85D92E">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【法律】《中华人民共和国安全生产法》</w:t>
            </w:r>
          </w:p>
          <w:p w14:paraId="1020B104">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第九十七条　生产经营单位有下列行为之一的，责令限期改正，处十万元以下的罚款；逾期未改正的，责令停产停业整顿，并处十万元以上二十万元以下的罚款，对其直接负责的主管人员和其他直接责任人员处二万元以上五万元以下的罚款：</w:t>
            </w:r>
          </w:p>
          <w:p w14:paraId="74EB1766">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（一）未按照规定设置安全生产管理机构或者配备安全生产管理人员、注册安全工程师的；</w:t>
            </w:r>
          </w:p>
          <w:p w14:paraId="2FF435A5">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第一百一十二条  生产经营单位违反本法规定，被责令改正且受到罚款处罚，拒不改正的，负有安全生产监督管理职责的部门可以自作出责令改正之日的次日起，按照原处罚数额按日连续处罚。</w:t>
            </w:r>
          </w:p>
          <w:p w14:paraId="1678B06F">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【行政法规】《建设工程安全生产管理条例》</w:t>
            </w:r>
          </w:p>
          <w:p w14:paraId="0347AF42">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第二十三条第一款  施工单位应当设立安全生产管理机构，配备专职安全生产管理人员。</w:t>
            </w:r>
          </w:p>
        </w:tc>
        <w:tc>
          <w:tcPr>
            <w:tcW w:w="992" w:type="dxa"/>
            <w:vMerge w:val="continue"/>
            <w:vAlign w:val="center"/>
          </w:tcPr>
          <w:p w14:paraId="71933E75">
            <w:pPr>
              <w:widowControl/>
              <w:autoSpaceDE w:val="0"/>
              <w:autoSpaceDN w:val="0"/>
              <w:spacing w:line="280" w:lineRule="exact"/>
              <w:jc w:val="left"/>
              <w:rPr>
                <w:rFonts w:ascii="Times New Roman" w:hAnsi="Times New Roman" w:eastAsia="仿宋_GB2312" w:cs="方正仿宋_GBK"/>
                <w:color w:val="auto"/>
                <w:szCs w:val="21"/>
              </w:rPr>
            </w:pPr>
          </w:p>
        </w:tc>
        <w:tc>
          <w:tcPr>
            <w:tcW w:w="1139" w:type="dxa"/>
            <w:vMerge w:val="continue"/>
            <w:vAlign w:val="center"/>
          </w:tcPr>
          <w:p w14:paraId="10717415">
            <w:pPr>
              <w:widowControl/>
              <w:autoSpaceDE w:val="0"/>
              <w:autoSpaceDN w:val="0"/>
              <w:spacing w:line="280" w:lineRule="exact"/>
              <w:jc w:val="left"/>
              <w:rPr>
                <w:rFonts w:ascii="Times New Roman" w:hAnsi="Times New Roman" w:eastAsia="仿宋_GB2312" w:cs="方正仿宋_GBK"/>
                <w:color w:val="auto"/>
                <w:szCs w:val="21"/>
              </w:rPr>
            </w:pPr>
          </w:p>
        </w:tc>
        <w:tc>
          <w:tcPr>
            <w:tcW w:w="1491" w:type="dxa"/>
            <w:vAlign w:val="center"/>
          </w:tcPr>
          <w:p w14:paraId="59EEA5DE">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320217119000</w:t>
            </w:r>
          </w:p>
        </w:tc>
        <w:tc>
          <w:tcPr>
            <w:tcW w:w="1481" w:type="dxa"/>
            <w:vAlign w:val="center"/>
          </w:tcPr>
          <w:p w14:paraId="214C857F">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对施工单位未设立安全生产管理机构、配备专职安全生产管理人员或者分部分项工程施工时无专职安全生产管理人员现场监督的处罚</w:t>
            </w:r>
          </w:p>
        </w:tc>
        <w:tc>
          <w:tcPr>
            <w:tcW w:w="622" w:type="dxa"/>
            <w:vAlign w:val="center"/>
          </w:tcPr>
          <w:p w14:paraId="2E5FEDF2">
            <w:pPr>
              <w:widowControl/>
              <w:autoSpaceDE w:val="0"/>
              <w:autoSpaceDN w:val="0"/>
              <w:spacing w:line="280" w:lineRule="exact"/>
              <w:jc w:val="left"/>
              <w:rPr>
                <w:rFonts w:ascii="Times New Roman" w:hAnsi="Times New Roman" w:eastAsia="仿宋_GB2312" w:cs="方正仿宋_GBK"/>
                <w:color w:val="auto"/>
                <w:szCs w:val="21"/>
              </w:rPr>
            </w:pPr>
          </w:p>
        </w:tc>
      </w:tr>
      <w:tr w14:paraId="0D2C4E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6" w:type="dxa"/>
            <w:vAlign w:val="center"/>
          </w:tcPr>
          <w:p w14:paraId="5185A5C3">
            <w:pPr>
              <w:autoSpaceDE w:val="0"/>
              <w:autoSpaceDN w:val="0"/>
              <w:spacing w:line="280" w:lineRule="exact"/>
              <w:jc w:val="center"/>
              <w:rPr>
                <w:rFonts w:hint="default" w:ascii="Times New Roman" w:hAnsi="Times New Roman" w:eastAsia="仿宋_GB2312" w:cs="方正仿宋_GBK"/>
                <w:color w:val="auto"/>
                <w:szCs w:val="21"/>
                <w:lang w:val="en-US" w:eastAsia="zh-CN"/>
              </w:rPr>
            </w:pPr>
            <w:r>
              <w:rPr>
                <w:rFonts w:hint="eastAsia" w:ascii="Times New Roman" w:hAnsi="Times New Roman" w:eastAsia="仿宋_GB2312" w:cs="方正仿宋_GBK"/>
                <w:color w:val="auto"/>
                <w:szCs w:val="21"/>
                <w:lang w:val="en-US" w:eastAsia="zh-CN"/>
              </w:rPr>
              <w:t>15</w:t>
            </w:r>
          </w:p>
        </w:tc>
        <w:tc>
          <w:tcPr>
            <w:tcW w:w="1324" w:type="dxa"/>
            <w:vAlign w:val="center"/>
          </w:tcPr>
          <w:p w14:paraId="4C69C415">
            <w:pPr>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对房屋市政工程质量、安全及文明施工情况的行政检查</w:t>
            </w:r>
          </w:p>
        </w:tc>
        <w:tc>
          <w:tcPr>
            <w:tcW w:w="794" w:type="dxa"/>
            <w:vAlign w:val="center"/>
          </w:tcPr>
          <w:p w14:paraId="1A9A0B52">
            <w:pPr>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苏州市相城区住房和城乡建设局</w:t>
            </w:r>
          </w:p>
        </w:tc>
        <w:tc>
          <w:tcPr>
            <w:tcW w:w="872" w:type="dxa"/>
            <w:vAlign w:val="center"/>
          </w:tcPr>
          <w:p w14:paraId="38A5093A">
            <w:pPr>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相城区建设工程质量安全监督中心</w:t>
            </w:r>
          </w:p>
        </w:tc>
        <w:tc>
          <w:tcPr>
            <w:tcW w:w="869" w:type="dxa"/>
            <w:vAlign w:val="center"/>
          </w:tcPr>
          <w:p w14:paraId="18EC17D5">
            <w:pPr>
              <w:widowControl/>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施工</w:t>
            </w:r>
          </w:p>
          <w:p w14:paraId="10DBA5D7">
            <w:pPr>
              <w:widowControl/>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单位</w:t>
            </w:r>
          </w:p>
        </w:tc>
        <w:tc>
          <w:tcPr>
            <w:tcW w:w="4962" w:type="dxa"/>
            <w:vAlign w:val="center"/>
          </w:tcPr>
          <w:p w14:paraId="08CBDE47">
            <w:pPr>
              <w:widowControl/>
              <w:autoSpaceDE w:val="0"/>
              <w:autoSpaceDN w:val="0"/>
              <w:spacing w:line="27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第二款  专职安全生产管理人员负责对安全生产进行现场监督检查。发现安全事故隐患，应当及时向项目负责人和安全生产管理机构报告；对违章指挥、违章操作的，应当立即制止。</w:t>
            </w:r>
          </w:p>
          <w:p w14:paraId="5D87519A">
            <w:pPr>
              <w:widowControl/>
              <w:autoSpaceDE w:val="0"/>
              <w:autoSpaceDN w:val="0"/>
              <w:spacing w:line="27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第六十二条  违反本条例的规定，施工单位有下列行为之一的，责令限期改正；逾期未改正的，责令停业整顿，依照《中华人民共和国安全生产法》的有关规定处以罚款；造成重大安全事故，构成犯罪的，对直接责任人员，依照刑法有关规定追究刑事责任：</w:t>
            </w:r>
          </w:p>
          <w:p w14:paraId="65552EF9">
            <w:pPr>
              <w:widowControl/>
              <w:autoSpaceDE w:val="0"/>
              <w:autoSpaceDN w:val="0"/>
              <w:spacing w:line="27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（一）未设立安全生产管理机构、配备专职安全生产管理人员或者分部分项工程施工时无专职安全生产管理人员现场监督的。</w:t>
            </w:r>
          </w:p>
          <w:p w14:paraId="2DFDC464">
            <w:pPr>
              <w:widowControl/>
              <w:autoSpaceDE w:val="0"/>
              <w:autoSpaceDN w:val="0"/>
              <w:spacing w:line="27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第六十八条　本条例规定的行政处罚，由建设行政主管部门或者其他有关部门依照法定职权决定。违反消防安全管理规定的行为，由公安消防机构依法处罚。</w:t>
            </w:r>
          </w:p>
          <w:p w14:paraId="4C39455F">
            <w:pPr>
              <w:widowControl/>
              <w:autoSpaceDE w:val="0"/>
              <w:autoSpaceDN w:val="0"/>
              <w:spacing w:line="27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有关法律、行政法规对建设工程安全生产违法行为的行政处罚决定机关另有规定的，从其规定。</w:t>
            </w:r>
          </w:p>
          <w:p w14:paraId="1F4CB790">
            <w:pPr>
              <w:widowControl/>
              <w:autoSpaceDE w:val="0"/>
              <w:autoSpaceDN w:val="0"/>
              <w:spacing w:line="27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【部门规章】《建筑施工企业主要负责人、项目负责人和专职安全生产管理人员安全生产管理规定》</w:t>
            </w:r>
          </w:p>
          <w:p w14:paraId="4A47B411">
            <w:pPr>
              <w:widowControl/>
              <w:autoSpaceDE w:val="0"/>
              <w:autoSpaceDN w:val="0"/>
              <w:spacing w:line="27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第三十条　建筑施工企业有下列行为之一的，由县级以上人民政府住房城乡建设主管部门责令限期改正；逾期未改正的，责令停业整顿，并处2万元以下的罚款；导致不具备《安全生产许可证条例》规定的安全生产条件的，应当依法暂扣或者吊销安全生产许可证：</w:t>
            </w:r>
          </w:p>
          <w:p w14:paraId="25D5FA8F">
            <w:pPr>
              <w:widowControl/>
              <w:autoSpaceDE w:val="0"/>
              <w:autoSpaceDN w:val="0"/>
              <w:spacing w:line="27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（一）未按规定设立安全生产管理机构的；</w:t>
            </w:r>
          </w:p>
          <w:p w14:paraId="23755302">
            <w:pPr>
              <w:widowControl/>
              <w:autoSpaceDE w:val="0"/>
              <w:autoSpaceDN w:val="0"/>
              <w:spacing w:line="27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（二）未按规定配备专职安全生产管理人员的；</w:t>
            </w:r>
          </w:p>
          <w:p w14:paraId="3652D23E">
            <w:pPr>
              <w:widowControl/>
              <w:autoSpaceDE w:val="0"/>
              <w:autoSpaceDN w:val="0"/>
              <w:spacing w:line="27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（三）危险性较大的分部分项工程施工时未安排专职安全生产管理人员现场监督的；</w:t>
            </w:r>
          </w:p>
        </w:tc>
        <w:tc>
          <w:tcPr>
            <w:tcW w:w="992" w:type="dxa"/>
            <w:vAlign w:val="center"/>
          </w:tcPr>
          <w:p w14:paraId="21B0848B">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现场检查、书面检查</w:t>
            </w:r>
          </w:p>
        </w:tc>
        <w:tc>
          <w:tcPr>
            <w:tcW w:w="1139" w:type="dxa"/>
            <w:vAlign w:val="center"/>
          </w:tcPr>
          <w:p w14:paraId="07905E3C">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双随机+重点检查</w:t>
            </w:r>
          </w:p>
        </w:tc>
        <w:tc>
          <w:tcPr>
            <w:tcW w:w="1491" w:type="dxa"/>
            <w:vAlign w:val="center"/>
          </w:tcPr>
          <w:p w14:paraId="63DB6D5E">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320217119000</w:t>
            </w:r>
          </w:p>
        </w:tc>
        <w:tc>
          <w:tcPr>
            <w:tcW w:w="1481" w:type="dxa"/>
            <w:vAlign w:val="center"/>
          </w:tcPr>
          <w:p w14:paraId="216BC7DB">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对施工单位未设立安全生产管理机构、配备专职安全生产管理人员或者分部分项工程施工时无专职安全生产管理人员现场监督的处罚</w:t>
            </w:r>
          </w:p>
        </w:tc>
        <w:tc>
          <w:tcPr>
            <w:tcW w:w="622" w:type="dxa"/>
            <w:vAlign w:val="center"/>
          </w:tcPr>
          <w:p w14:paraId="37349E7D">
            <w:pPr>
              <w:widowControl/>
              <w:autoSpaceDE w:val="0"/>
              <w:autoSpaceDN w:val="0"/>
              <w:spacing w:line="280" w:lineRule="exact"/>
              <w:jc w:val="left"/>
              <w:rPr>
                <w:rFonts w:ascii="Times New Roman" w:hAnsi="Times New Roman" w:eastAsia="仿宋_GB2312" w:cs="方正仿宋_GBK"/>
                <w:color w:val="auto"/>
                <w:szCs w:val="21"/>
              </w:rPr>
            </w:pPr>
          </w:p>
        </w:tc>
      </w:tr>
      <w:tr w14:paraId="0EC9F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6" w:type="dxa"/>
            <w:vMerge w:val="restart"/>
            <w:vAlign w:val="center"/>
          </w:tcPr>
          <w:p w14:paraId="35664390">
            <w:pPr>
              <w:autoSpaceDE w:val="0"/>
              <w:autoSpaceDN w:val="0"/>
              <w:spacing w:line="280" w:lineRule="exact"/>
              <w:jc w:val="center"/>
              <w:rPr>
                <w:rFonts w:hint="default" w:ascii="Times New Roman" w:hAnsi="Times New Roman" w:eastAsia="仿宋_GB2312" w:cs="方正仿宋_GBK"/>
                <w:color w:val="auto"/>
                <w:szCs w:val="21"/>
                <w:lang w:val="en-US" w:eastAsia="zh-CN"/>
              </w:rPr>
            </w:pPr>
            <w:r>
              <w:rPr>
                <w:rFonts w:hint="eastAsia" w:ascii="Times New Roman" w:hAnsi="Times New Roman" w:eastAsia="仿宋_GB2312" w:cs="方正仿宋_GBK"/>
                <w:color w:val="auto"/>
                <w:szCs w:val="21"/>
                <w:lang w:val="en-US" w:eastAsia="zh-CN"/>
              </w:rPr>
              <w:t>15</w:t>
            </w:r>
          </w:p>
        </w:tc>
        <w:tc>
          <w:tcPr>
            <w:tcW w:w="1324" w:type="dxa"/>
            <w:vMerge w:val="restart"/>
            <w:vAlign w:val="center"/>
          </w:tcPr>
          <w:p w14:paraId="54B42784">
            <w:pPr>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对房屋市政工程质量、安全及文明施工情况的行政检查</w:t>
            </w:r>
          </w:p>
        </w:tc>
        <w:tc>
          <w:tcPr>
            <w:tcW w:w="794" w:type="dxa"/>
            <w:vMerge w:val="restart"/>
            <w:vAlign w:val="center"/>
          </w:tcPr>
          <w:p w14:paraId="5B2EFE67">
            <w:pPr>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苏州市相城区住房和城乡建设局</w:t>
            </w:r>
          </w:p>
        </w:tc>
        <w:tc>
          <w:tcPr>
            <w:tcW w:w="872" w:type="dxa"/>
            <w:vMerge w:val="restart"/>
            <w:vAlign w:val="center"/>
          </w:tcPr>
          <w:p w14:paraId="5AFE89D2">
            <w:pPr>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相城区建设工程质量安全监督中心</w:t>
            </w:r>
          </w:p>
        </w:tc>
        <w:tc>
          <w:tcPr>
            <w:tcW w:w="869" w:type="dxa"/>
            <w:vMerge w:val="restart"/>
            <w:vAlign w:val="center"/>
          </w:tcPr>
          <w:p w14:paraId="129C37BC">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生产经营单位</w:t>
            </w:r>
          </w:p>
        </w:tc>
        <w:tc>
          <w:tcPr>
            <w:tcW w:w="4962" w:type="dxa"/>
            <w:vAlign w:val="center"/>
          </w:tcPr>
          <w:p w14:paraId="5C3E2539">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【法律】《中华人民共和国安全生产法》</w:t>
            </w:r>
          </w:p>
          <w:p w14:paraId="58FDBF98">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第四十九条第一款　生产经营单位不得将生产经营项目、场所、设备发包或者出租给不具备安全生产条件或者相应资质的单位或者个人。</w:t>
            </w:r>
          </w:p>
          <w:p w14:paraId="4B4CBEA6">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第一百零三条第一款　生产经营单位将生产经营项目、场所、设备发包或者出租给不具备安全生产条件或者相应资质的单位或者个人的，责令限期改正，没收违法所得；违法所得十万元以上的，并处违法所得二倍以上五倍以下的罚款；没有违法所得或者违法所得不足十万元的，单处或者并处十万元以上二十万元以下的罚款；对其直接负责的主管人员和其他直接责任人员处一万元以上二万元以下的罚款；导致发生生产安全事故给他人造成损害的，与承包方、承租方承担连带赔偿责任。</w:t>
            </w:r>
          </w:p>
        </w:tc>
        <w:tc>
          <w:tcPr>
            <w:tcW w:w="992" w:type="dxa"/>
            <w:vMerge w:val="restart"/>
            <w:vAlign w:val="center"/>
          </w:tcPr>
          <w:p w14:paraId="30D82DAD">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现场检查、书面检查</w:t>
            </w:r>
          </w:p>
        </w:tc>
        <w:tc>
          <w:tcPr>
            <w:tcW w:w="1139" w:type="dxa"/>
            <w:vMerge w:val="restart"/>
            <w:vAlign w:val="center"/>
          </w:tcPr>
          <w:p w14:paraId="790E96CD">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双随机+重点检查</w:t>
            </w:r>
          </w:p>
        </w:tc>
        <w:tc>
          <w:tcPr>
            <w:tcW w:w="1491" w:type="dxa"/>
            <w:vAlign w:val="center"/>
          </w:tcPr>
          <w:p w14:paraId="5B2528C8">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320217108000</w:t>
            </w:r>
          </w:p>
        </w:tc>
        <w:tc>
          <w:tcPr>
            <w:tcW w:w="1481" w:type="dxa"/>
            <w:vAlign w:val="center"/>
          </w:tcPr>
          <w:p w14:paraId="1B164A6A">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对生产经营单位将生产经营项目、场所、设备发包或者出租给不具备安全生产条件或者相应资质的单位或者个人的处罚</w:t>
            </w:r>
          </w:p>
        </w:tc>
        <w:tc>
          <w:tcPr>
            <w:tcW w:w="622" w:type="dxa"/>
            <w:vAlign w:val="center"/>
          </w:tcPr>
          <w:p w14:paraId="0267B28B">
            <w:pPr>
              <w:widowControl/>
              <w:autoSpaceDE w:val="0"/>
              <w:autoSpaceDN w:val="0"/>
              <w:spacing w:line="280" w:lineRule="exact"/>
              <w:jc w:val="left"/>
              <w:rPr>
                <w:rFonts w:ascii="Times New Roman" w:hAnsi="Times New Roman" w:eastAsia="仿宋_GB2312" w:cs="方正仿宋_GBK"/>
                <w:color w:val="auto"/>
                <w:szCs w:val="21"/>
              </w:rPr>
            </w:pPr>
          </w:p>
        </w:tc>
      </w:tr>
      <w:tr w14:paraId="4800C7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6" w:type="dxa"/>
            <w:vMerge w:val="continue"/>
            <w:vAlign w:val="center"/>
          </w:tcPr>
          <w:p w14:paraId="480A5B1D">
            <w:pPr>
              <w:widowControl/>
              <w:autoSpaceDE w:val="0"/>
              <w:autoSpaceDN w:val="0"/>
              <w:spacing w:line="280" w:lineRule="exact"/>
              <w:jc w:val="left"/>
              <w:rPr>
                <w:rFonts w:ascii="Times New Roman" w:hAnsi="Times New Roman" w:eastAsia="仿宋_GB2312" w:cs="方正仿宋_GBK"/>
                <w:color w:val="auto"/>
                <w:szCs w:val="21"/>
              </w:rPr>
            </w:pPr>
          </w:p>
        </w:tc>
        <w:tc>
          <w:tcPr>
            <w:tcW w:w="1324" w:type="dxa"/>
            <w:vMerge w:val="continue"/>
            <w:vAlign w:val="center"/>
          </w:tcPr>
          <w:p w14:paraId="08ADEB05">
            <w:pPr>
              <w:widowControl/>
              <w:autoSpaceDE w:val="0"/>
              <w:autoSpaceDN w:val="0"/>
              <w:spacing w:line="280" w:lineRule="exact"/>
              <w:jc w:val="left"/>
              <w:rPr>
                <w:rFonts w:ascii="Times New Roman" w:hAnsi="Times New Roman" w:eastAsia="仿宋_GB2312" w:cs="方正仿宋_GBK"/>
                <w:color w:val="auto"/>
                <w:szCs w:val="21"/>
              </w:rPr>
            </w:pPr>
          </w:p>
        </w:tc>
        <w:tc>
          <w:tcPr>
            <w:tcW w:w="794" w:type="dxa"/>
            <w:vMerge w:val="continue"/>
            <w:vAlign w:val="center"/>
          </w:tcPr>
          <w:p w14:paraId="6455CBF8">
            <w:pPr>
              <w:widowControl/>
              <w:autoSpaceDE w:val="0"/>
              <w:autoSpaceDN w:val="0"/>
              <w:spacing w:line="280" w:lineRule="exact"/>
              <w:jc w:val="left"/>
              <w:rPr>
                <w:rFonts w:ascii="Times New Roman" w:hAnsi="Times New Roman" w:eastAsia="仿宋_GB2312" w:cs="方正仿宋_GBK"/>
                <w:color w:val="auto"/>
                <w:szCs w:val="21"/>
              </w:rPr>
            </w:pPr>
          </w:p>
        </w:tc>
        <w:tc>
          <w:tcPr>
            <w:tcW w:w="872" w:type="dxa"/>
            <w:vMerge w:val="continue"/>
            <w:vAlign w:val="center"/>
          </w:tcPr>
          <w:p w14:paraId="32909DD5">
            <w:pPr>
              <w:widowControl/>
              <w:autoSpaceDE w:val="0"/>
              <w:autoSpaceDN w:val="0"/>
              <w:spacing w:line="280" w:lineRule="exact"/>
              <w:jc w:val="left"/>
              <w:rPr>
                <w:rFonts w:ascii="Times New Roman" w:hAnsi="Times New Roman" w:eastAsia="仿宋_GB2312" w:cs="方正仿宋_GBK"/>
                <w:color w:val="auto"/>
                <w:szCs w:val="21"/>
              </w:rPr>
            </w:pPr>
          </w:p>
        </w:tc>
        <w:tc>
          <w:tcPr>
            <w:tcW w:w="869" w:type="dxa"/>
            <w:vMerge w:val="continue"/>
            <w:vAlign w:val="center"/>
          </w:tcPr>
          <w:p w14:paraId="462ADC86">
            <w:pPr>
              <w:widowControl/>
              <w:autoSpaceDE w:val="0"/>
              <w:autoSpaceDN w:val="0"/>
              <w:spacing w:line="280" w:lineRule="exact"/>
              <w:jc w:val="left"/>
              <w:rPr>
                <w:rFonts w:ascii="Times New Roman" w:hAnsi="Times New Roman" w:eastAsia="仿宋_GB2312" w:cs="方正仿宋_GBK"/>
                <w:color w:val="auto"/>
                <w:szCs w:val="21"/>
              </w:rPr>
            </w:pPr>
          </w:p>
        </w:tc>
        <w:tc>
          <w:tcPr>
            <w:tcW w:w="4962" w:type="dxa"/>
            <w:vAlign w:val="center"/>
          </w:tcPr>
          <w:p w14:paraId="57AAC9AD">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【法律】《中华人民共和国安全生产法》</w:t>
            </w:r>
          </w:p>
          <w:p w14:paraId="29DD49E9">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第九十九条　生产经营单位有下列行为之一的，责令限期改正，处五万元以下的罚款；逾期未改正的，处五万元以上二十万元以下的罚款，对其直接负责的主管人员和其他直接责任人员处一万元以上二万元以下的罚款；情节严重的，责令停产停业整顿；构成犯罪的，依照刑法有关规定追究刑事责任：</w:t>
            </w:r>
          </w:p>
          <w:p w14:paraId="2A3BB421">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（六）危险物品的容器、运输工具，以及涉及人身安全、危险性较大的海洋石油开采特种设备和矿山井下特种设备未经具有专业资质的机构检测、检验合格，取得安全使用证或者安全标志，投入使用的；</w:t>
            </w:r>
          </w:p>
          <w:p w14:paraId="01A01A63">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第一百一十二条  生产经营单位违反本法规定，被责令改正且受到罚款处罚，拒不改正的，负有安全生产监督管理职责的部门可以自作出责令改正之日的次日起，按照原处罚数额按日连续处罚。</w:t>
            </w:r>
          </w:p>
        </w:tc>
        <w:tc>
          <w:tcPr>
            <w:tcW w:w="992" w:type="dxa"/>
            <w:vMerge w:val="continue"/>
            <w:vAlign w:val="center"/>
          </w:tcPr>
          <w:p w14:paraId="451A7490">
            <w:pPr>
              <w:widowControl/>
              <w:autoSpaceDE w:val="0"/>
              <w:autoSpaceDN w:val="0"/>
              <w:spacing w:line="280" w:lineRule="exact"/>
              <w:jc w:val="left"/>
              <w:rPr>
                <w:rFonts w:ascii="Times New Roman" w:hAnsi="Times New Roman" w:eastAsia="仿宋_GB2312" w:cs="方正仿宋_GBK"/>
                <w:color w:val="auto"/>
                <w:szCs w:val="21"/>
              </w:rPr>
            </w:pPr>
          </w:p>
        </w:tc>
        <w:tc>
          <w:tcPr>
            <w:tcW w:w="1139" w:type="dxa"/>
            <w:vMerge w:val="continue"/>
            <w:vAlign w:val="center"/>
          </w:tcPr>
          <w:p w14:paraId="0380C354">
            <w:pPr>
              <w:widowControl/>
              <w:autoSpaceDE w:val="0"/>
              <w:autoSpaceDN w:val="0"/>
              <w:spacing w:line="280" w:lineRule="exact"/>
              <w:jc w:val="left"/>
              <w:rPr>
                <w:rFonts w:ascii="Times New Roman" w:hAnsi="Times New Roman" w:eastAsia="仿宋_GB2312" w:cs="方正仿宋_GBK"/>
                <w:color w:val="auto"/>
                <w:szCs w:val="21"/>
              </w:rPr>
            </w:pPr>
          </w:p>
        </w:tc>
        <w:tc>
          <w:tcPr>
            <w:tcW w:w="1491" w:type="dxa"/>
            <w:vAlign w:val="center"/>
          </w:tcPr>
          <w:p w14:paraId="5AD323D2">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320217107000</w:t>
            </w:r>
          </w:p>
        </w:tc>
        <w:tc>
          <w:tcPr>
            <w:tcW w:w="1481" w:type="dxa"/>
            <w:vAlign w:val="center"/>
          </w:tcPr>
          <w:p w14:paraId="6C60B277">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对施工单位未按照规定在施工起重机械和整体提升脚手架、模板等自升式架设设施验收合格后登记的处罚</w:t>
            </w:r>
          </w:p>
        </w:tc>
        <w:tc>
          <w:tcPr>
            <w:tcW w:w="622" w:type="dxa"/>
            <w:vAlign w:val="center"/>
          </w:tcPr>
          <w:p w14:paraId="33AC5220">
            <w:pPr>
              <w:widowControl/>
              <w:autoSpaceDE w:val="0"/>
              <w:autoSpaceDN w:val="0"/>
              <w:spacing w:line="280" w:lineRule="exact"/>
              <w:jc w:val="left"/>
              <w:rPr>
                <w:rFonts w:ascii="Times New Roman" w:hAnsi="Times New Roman" w:eastAsia="仿宋_GB2312" w:cs="方正仿宋_GBK"/>
                <w:color w:val="auto"/>
                <w:szCs w:val="21"/>
              </w:rPr>
            </w:pPr>
          </w:p>
        </w:tc>
      </w:tr>
      <w:tr w14:paraId="0EC9A0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6" w:type="dxa"/>
            <w:vMerge w:val="restart"/>
            <w:vAlign w:val="center"/>
          </w:tcPr>
          <w:p w14:paraId="1EAA8FB1">
            <w:pPr>
              <w:autoSpaceDE w:val="0"/>
              <w:autoSpaceDN w:val="0"/>
              <w:spacing w:line="280" w:lineRule="exact"/>
              <w:jc w:val="center"/>
              <w:rPr>
                <w:rFonts w:hint="default" w:ascii="Times New Roman" w:hAnsi="Times New Roman" w:eastAsia="仿宋_GB2312" w:cs="方正仿宋_GBK"/>
                <w:color w:val="auto"/>
                <w:szCs w:val="21"/>
                <w:lang w:val="en-US" w:eastAsia="zh-CN"/>
              </w:rPr>
            </w:pPr>
            <w:r>
              <w:rPr>
                <w:rFonts w:hint="eastAsia" w:ascii="Times New Roman" w:hAnsi="Times New Roman" w:eastAsia="仿宋_GB2312" w:cs="方正仿宋_GBK"/>
                <w:color w:val="auto"/>
                <w:szCs w:val="21"/>
                <w:lang w:val="en-US" w:eastAsia="zh-CN"/>
              </w:rPr>
              <w:t>15</w:t>
            </w:r>
          </w:p>
        </w:tc>
        <w:tc>
          <w:tcPr>
            <w:tcW w:w="1324" w:type="dxa"/>
            <w:vMerge w:val="restart"/>
            <w:vAlign w:val="center"/>
          </w:tcPr>
          <w:p w14:paraId="305A56B7">
            <w:pPr>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对房屋市政工程质量、安全及文明施工情况的行政检查</w:t>
            </w:r>
          </w:p>
        </w:tc>
        <w:tc>
          <w:tcPr>
            <w:tcW w:w="794" w:type="dxa"/>
            <w:vMerge w:val="restart"/>
            <w:vAlign w:val="center"/>
          </w:tcPr>
          <w:p w14:paraId="7AA7A052">
            <w:pPr>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苏州市相城区住房和城乡建设局</w:t>
            </w:r>
          </w:p>
        </w:tc>
        <w:tc>
          <w:tcPr>
            <w:tcW w:w="872" w:type="dxa"/>
            <w:vMerge w:val="restart"/>
            <w:vAlign w:val="center"/>
          </w:tcPr>
          <w:p w14:paraId="131DF4E1">
            <w:pPr>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相城区建设工程质量安全监督中心</w:t>
            </w:r>
          </w:p>
        </w:tc>
        <w:tc>
          <w:tcPr>
            <w:tcW w:w="869" w:type="dxa"/>
            <w:vMerge w:val="restart"/>
            <w:vAlign w:val="center"/>
          </w:tcPr>
          <w:p w14:paraId="7F33A1E7">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生产经营单位</w:t>
            </w:r>
          </w:p>
        </w:tc>
        <w:tc>
          <w:tcPr>
            <w:tcW w:w="4962" w:type="dxa"/>
            <w:vAlign w:val="center"/>
          </w:tcPr>
          <w:p w14:paraId="52435D56">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【行政法规】《建设工程安全生产管理条例》</w:t>
            </w:r>
          </w:p>
          <w:p w14:paraId="7226E87C">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第三十五条第三款  施工单位应当自施工起重机械和整体提升脚手架、模板等自升式架设设施验收合格之日起30日内，向建设行政主管部门或者其他有关部门登记。登记标志应当置于或者附着于该设备的显著位置。</w:t>
            </w:r>
          </w:p>
          <w:p w14:paraId="3A65616C">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第六十二条　违反本条例的规定，施工单位有下列行为之一的，责令限期改正；逾期未改正的，责令停业整顿，依照《中华人民共和国安全生产法》的有关规定处以罚款；造成重大安全事故，构成犯罪的，对直接责任人员，依照刑法有关规定追究刑事责任：</w:t>
            </w:r>
          </w:p>
          <w:p w14:paraId="50E4C707">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（五）未按照规定在施工起重机械和整体提升脚手架、模板等自升式架设设施验收合格后登记的。</w:t>
            </w:r>
          </w:p>
          <w:p w14:paraId="42E55E0D">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第六十八条　本条例规定的行政处罚，由建设行政主管部门或者其他有关部门依照法定职权决定。违反消防安全管理规定的行为，由公安消防机构依法处罚。有关法律、行政法规对建设工程安全生产违法行为的行政处罚决定机关另有规定的，从其规定。</w:t>
            </w:r>
          </w:p>
        </w:tc>
        <w:tc>
          <w:tcPr>
            <w:tcW w:w="992" w:type="dxa"/>
            <w:vMerge w:val="restart"/>
            <w:vAlign w:val="center"/>
          </w:tcPr>
          <w:p w14:paraId="5F6B4A03">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现场检查、书面检查</w:t>
            </w:r>
          </w:p>
        </w:tc>
        <w:tc>
          <w:tcPr>
            <w:tcW w:w="1139" w:type="dxa"/>
            <w:vMerge w:val="restart"/>
            <w:vAlign w:val="center"/>
          </w:tcPr>
          <w:p w14:paraId="1CB9F817">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双随机+重点检查</w:t>
            </w:r>
          </w:p>
        </w:tc>
        <w:tc>
          <w:tcPr>
            <w:tcW w:w="1491" w:type="dxa"/>
            <w:vAlign w:val="center"/>
          </w:tcPr>
          <w:p w14:paraId="3960D0A5">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320217107000</w:t>
            </w:r>
          </w:p>
        </w:tc>
        <w:tc>
          <w:tcPr>
            <w:tcW w:w="1481" w:type="dxa"/>
            <w:vAlign w:val="center"/>
          </w:tcPr>
          <w:p w14:paraId="5DE67BD3">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对施工单位未按照规定在施工起重机械和整体提升脚手架、模板等自升式架设设施验收合格后登记的处罚</w:t>
            </w:r>
          </w:p>
        </w:tc>
        <w:tc>
          <w:tcPr>
            <w:tcW w:w="622" w:type="dxa"/>
            <w:vAlign w:val="center"/>
          </w:tcPr>
          <w:p w14:paraId="59CE787A">
            <w:pPr>
              <w:widowControl/>
              <w:autoSpaceDE w:val="0"/>
              <w:autoSpaceDN w:val="0"/>
              <w:spacing w:line="280" w:lineRule="exact"/>
              <w:jc w:val="left"/>
              <w:rPr>
                <w:rFonts w:ascii="Times New Roman" w:hAnsi="Times New Roman" w:eastAsia="仿宋_GB2312" w:cs="方正仿宋_GBK"/>
                <w:color w:val="auto"/>
                <w:szCs w:val="21"/>
              </w:rPr>
            </w:pPr>
          </w:p>
        </w:tc>
      </w:tr>
      <w:tr w14:paraId="536AEE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3" w:hRule="atLeast"/>
          <w:jc w:val="center"/>
        </w:trPr>
        <w:tc>
          <w:tcPr>
            <w:tcW w:w="536" w:type="dxa"/>
            <w:vMerge w:val="continue"/>
            <w:vAlign w:val="center"/>
          </w:tcPr>
          <w:p w14:paraId="61273E99">
            <w:pPr>
              <w:widowControl/>
              <w:autoSpaceDE w:val="0"/>
              <w:autoSpaceDN w:val="0"/>
              <w:spacing w:line="280" w:lineRule="exact"/>
              <w:jc w:val="left"/>
              <w:rPr>
                <w:rFonts w:ascii="Times New Roman" w:hAnsi="Times New Roman" w:eastAsia="仿宋_GB2312" w:cs="方正仿宋_GBK"/>
                <w:color w:val="auto"/>
                <w:szCs w:val="21"/>
              </w:rPr>
            </w:pPr>
          </w:p>
        </w:tc>
        <w:tc>
          <w:tcPr>
            <w:tcW w:w="1324" w:type="dxa"/>
            <w:vMerge w:val="continue"/>
            <w:vAlign w:val="center"/>
          </w:tcPr>
          <w:p w14:paraId="2E8F31CA">
            <w:pPr>
              <w:widowControl/>
              <w:autoSpaceDE w:val="0"/>
              <w:autoSpaceDN w:val="0"/>
              <w:spacing w:line="280" w:lineRule="exact"/>
              <w:jc w:val="left"/>
              <w:rPr>
                <w:rFonts w:ascii="Times New Roman" w:hAnsi="Times New Roman" w:eastAsia="仿宋_GB2312" w:cs="方正仿宋_GBK"/>
                <w:color w:val="auto"/>
                <w:szCs w:val="21"/>
              </w:rPr>
            </w:pPr>
          </w:p>
        </w:tc>
        <w:tc>
          <w:tcPr>
            <w:tcW w:w="794" w:type="dxa"/>
            <w:vMerge w:val="continue"/>
            <w:vAlign w:val="center"/>
          </w:tcPr>
          <w:p w14:paraId="2135AF5D">
            <w:pPr>
              <w:widowControl/>
              <w:autoSpaceDE w:val="0"/>
              <w:autoSpaceDN w:val="0"/>
              <w:spacing w:line="280" w:lineRule="exact"/>
              <w:jc w:val="left"/>
              <w:rPr>
                <w:rFonts w:ascii="Times New Roman" w:hAnsi="Times New Roman" w:eastAsia="仿宋_GB2312" w:cs="方正仿宋_GBK"/>
                <w:color w:val="auto"/>
                <w:szCs w:val="21"/>
              </w:rPr>
            </w:pPr>
          </w:p>
        </w:tc>
        <w:tc>
          <w:tcPr>
            <w:tcW w:w="872" w:type="dxa"/>
            <w:vMerge w:val="continue"/>
            <w:vAlign w:val="center"/>
          </w:tcPr>
          <w:p w14:paraId="4D33184E">
            <w:pPr>
              <w:widowControl/>
              <w:autoSpaceDE w:val="0"/>
              <w:autoSpaceDN w:val="0"/>
              <w:spacing w:line="280" w:lineRule="exact"/>
              <w:jc w:val="left"/>
              <w:rPr>
                <w:rFonts w:ascii="Times New Roman" w:hAnsi="Times New Roman" w:eastAsia="仿宋_GB2312" w:cs="方正仿宋_GBK"/>
                <w:color w:val="auto"/>
                <w:szCs w:val="21"/>
              </w:rPr>
            </w:pPr>
          </w:p>
        </w:tc>
        <w:tc>
          <w:tcPr>
            <w:tcW w:w="869" w:type="dxa"/>
            <w:vMerge w:val="continue"/>
            <w:vAlign w:val="center"/>
          </w:tcPr>
          <w:p w14:paraId="2FF812AD">
            <w:pPr>
              <w:widowControl/>
              <w:autoSpaceDE w:val="0"/>
              <w:autoSpaceDN w:val="0"/>
              <w:spacing w:line="280" w:lineRule="exact"/>
              <w:jc w:val="left"/>
              <w:rPr>
                <w:rFonts w:ascii="Times New Roman" w:hAnsi="Times New Roman" w:eastAsia="仿宋_GB2312" w:cs="方正仿宋_GBK"/>
                <w:color w:val="auto"/>
                <w:szCs w:val="21"/>
              </w:rPr>
            </w:pPr>
          </w:p>
        </w:tc>
        <w:tc>
          <w:tcPr>
            <w:tcW w:w="4962" w:type="dxa"/>
            <w:vAlign w:val="center"/>
          </w:tcPr>
          <w:p w14:paraId="1E5ADE70">
            <w:pPr>
              <w:widowControl/>
              <w:autoSpaceDE w:val="0"/>
              <w:autoSpaceDN w:val="0"/>
              <w:spacing w:line="27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【法律】《中华人民共和国安全生产法》</w:t>
            </w:r>
          </w:p>
          <w:p w14:paraId="3074D661">
            <w:pPr>
              <w:widowControl/>
              <w:autoSpaceDE w:val="0"/>
              <w:autoSpaceDN w:val="0"/>
              <w:spacing w:line="27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第六十六条　生产经营单位对负有安全生产监督管理职责的部门的监督检查人员（以下统称安全生产监督检查人员）依法履行监督检查职责，应当予以配合，不得拒绝、阻挠。</w:t>
            </w:r>
          </w:p>
          <w:p w14:paraId="7AAF7AD3">
            <w:pPr>
              <w:widowControl/>
              <w:autoSpaceDE w:val="0"/>
              <w:autoSpaceDN w:val="0"/>
              <w:spacing w:line="27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第一百零八条　违反本法规定，生产经营单位拒绝、阻碍负有安全生产监督管理职责的部门依法实施监督检查的，责令改正；拒不改正的，处二万元以上二十万元以下的罚款；对其直接负责的主管人员和其他直接责任人员处一万元以上二万元以下的罚款；构成犯罪的，依照刑法有关规定追究刑事责任。</w:t>
            </w:r>
          </w:p>
        </w:tc>
        <w:tc>
          <w:tcPr>
            <w:tcW w:w="992" w:type="dxa"/>
            <w:vMerge w:val="continue"/>
            <w:vAlign w:val="center"/>
          </w:tcPr>
          <w:p w14:paraId="7AD61FCD">
            <w:pPr>
              <w:widowControl/>
              <w:autoSpaceDE w:val="0"/>
              <w:autoSpaceDN w:val="0"/>
              <w:spacing w:line="280" w:lineRule="exact"/>
              <w:jc w:val="left"/>
              <w:rPr>
                <w:rFonts w:ascii="Times New Roman" w:hAnsi="Times New Roman" w:eastAsia="仿宋_GB2312" w:cs="方正仿宋_GBK"/>
                <w:color w:val="auto"/>
                <w:szCs w:val="21"/>
              </w:rPr>
            </w:pPr>
          </w:p>
        </w:tc>
        <w:tc>
          <w:tcPr>
            <w:tcW w:w="1139" w:type="dxa"/>
            <w:vMerge w:val="continue"/>
            <w:vAlign w:val="center"/>
          </w:tcPr>
          <w:p w14:paraId="00D1071E">
            <w:pPr>
              <w:widowControl/>
              <w:autoSpaceDE w:val="0"/>
              <w:autoSpaceDN w:val="0"/>
              <w:spacing w:line="280" w:lineRule="exact"/>
              <w:jc w:val="left"/>
              <w:rPr>
                <w:rFonts w:ascii="Times New Roman" w:hAnsi="Times New Roman" w:eastAsia="仿宋_GB2312" w:cs="方正仿宋_GBK"/>
                <w:color w:val="auto"/>
                <w:szCs w:val="21"/>
              </w:rPr>
            </w:pPr>
          </w:p>
        </w:tc>
        <w:tc>
          <w:tcPr>
            <w:tcW w:w="1491" w:type="dxa"/>
            <w:vAlign w:val="center"/>
          </w:tcPr>
          <w:p w14:paraId="5BF6DAF5">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320217091000</w:t>
            </w:r>
          </w:p>
        </w:tc>
        <w:tc>
          <w:tcPr>
            <w:tcW w:w="1481" w:type="dxa"/>
            <w:vAlign w:val="center"/>
          </w:tcPr>
          <w:p w14:paraId="1E4B6BE6">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对生产经营单位拒绝、阻碍负有安全生产监督管理职责的部门依法实施监督检查的处罚</w:t>
            </w:r>
          </w:p>
        </w:tc>
        <w:tc>
          <w:tcPr>
            <w:tcW w:w="622" w:type="dxa"/>
            <w:vAlign w:val="center"/>
          </w:tcPr>
          <w:p w14:paraId="39984B10">
            <w:pPr>
              <w:widowControl/>
              <w:autoSpaceDE w:val="0"/>
              <w:autoSpaceDN w:val="0"/>
              <w:spacing w:line="280" w:lineRule="exact"/>
              <w:jc w:val="left"/>
              <w:rPr>
                <w:rFonts w:ascii="Times New Roman" w:hAnsi="Times New Roman" w:eastAsia="仿宋_GB2312" w:cs="方正仿宋_GBK"/>
                <w:color w:val="auto"/>
                <w:szCs w:val="21"/>
              </w:rPr>
            </w:pPr>
          </w:p>
        </w:tc>
      </w:tr>
      <w:tr w14:paraId="20C81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6" w:type="dxa"/>
            <w:vMerge w:val="restart"/>
            <w:vAlign w:val="center"/>
          </w:tcPr>
          <w:p w14:paraId="4F586C6C">
            <w:pPr>
              <w:autoSpaceDE w:val="0"/>
              <w:autoSpaceDN w:val="0"/>
              <w:spacing w:line="280" w:lineRule="exact"/>
              <w:jc w:val="center"/>
              <w:rPr>
                <w:rFonts w:hint="default" w:ascii="Times New Roman" w:hAnsi="Times New Roman" w:eastAsia="仿宋_GB2312" w:cs="方正仿宋_GBK"/>
                <w:color w:val="auto"/>
                <w:szCs w:val="21"/>
                <w:lang w:val="en-US" w:eastAsia="zh-CN"/>
              </w:rPr>
            </w:pPr>
            <w:r>
              <w:rPr>
                <w:rFonts w:hint="eastAsia" w:ascii="Times New Roman" w:hAnsi="Times New Roman" w:eastAsia="仿宋_GB2312" w:cs="方正仿宋_GBK"/>
                <w:color w:val="auto"/>
                <w:szCs w:val="21"/>
                <w:lang w:val="en-US" w:eastAsia="zh-CN"/>
              </w:rPr>
              <w:t>15</w:t>
            </w:r>
          </w:p>
        </w:tc>
        <w:tc>
          <w:tcPr>
            <w:tcW w:w="1324" w:type="dxa"/>
            <w:vMerge w:val="restart"/>
            <w:vAlign w:val="center"/>
          </w:tcPr>
          <w:p w14:paraId="4ABD3BE7">
            <w:pPr>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对房屋市政工程质量、安全及文明施工情况的行政检查</w:t>
            </w:r>
          </w:p>
        </w:tc>
        <w:tc>
          <w:tcPr>
            <w:tcW w:w="794" w:type="dxa"/>
            <w:vMerge w:val="restart"/>
            <w:vAlign w:val="center"/>
          </w:tcPr>
          <w:p w14:paraId="0F28D9C4">
            <w:pPr>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苏州市相城区住房和城乡建设局</w:t>
            </w:r>
          </w:p>
        </w:tc>
        <w:tc>
          <w:tcPr>
            <w:tcW w:w="872" w:type="dxa"/>
            <w:vMerge w:val="restart"/>
            <w:vAlign w:val="center"/>
          </w:tcPr>
          <w:p w14:paraId="0E8BCCFC">
            <w:pPr>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相城区建设工程质量安全监督中心</w:t>
            </w:r>
          </w:p>
        </w:tc>
        <w:tc>
          <w:tcPr>
            <w:tcW w:w="869" w:type="dxa"/>
            <w:vMerge w:val="restart"/>
            <w:vAlign w:val="center"/>
          </w:tcPr>
          <w:p w14:paraId="5FB0929D">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生产经营单位</w:t>
            </w:r>
          </w:p>
        </w:tc>
        <w:tc>
          <w:tcPr>
            <w:tcW w:w="4962" w:type="dxa"/>
            <w:vAlign w:val="center"/>
          </w:tcPr>
          <w:p w14:paraId="66E1D057">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【法律】《中华人民共和国安全生产法》</w:t>
            </w:r>
          </w:p>
          <w:p w14:paraId="7773606B">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第四十二条第二款　生产经营场所和员工宿舍应当设有符合紧急疏散要求、标志明显、保持畅通的出口、疏散通道。禁止占用、锁闭、封堵生产经营场所或者员工宿舍的出口、疏散通道。</w:t>
            </w:r>
          </w:p>
          <w:p w14:paraId="18534999">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第一百零五条　生产经营单位有下列行为之一的，责令限期改正，处五万元以下的罚款，对其直接负责的主管人员和其他直接责任人员处一万元以下的罚款；逾期未改正的，责令停产停业整顿；构成犯罪的，依照刑法有关规定追究刑事责任：</w:t>
            </w:r>
          </w:p>
          <w:p w14:paraId="4A374521">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（二）生产经营场所和员工宿舍未设有符合紧急疏散需要、标志明显、保持畅通的出口、疏散通道，或者占用、锁闭、封堵生产经营场所或者员工宿舍出口、疏散通道的。</w:t>
            </w:r>
          </w:p>
          <w:p w14:paraId="34B45D24">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第一百一十二条　生产经营单位违反本法规定，被责令改正且受到罚款处罚，拒不改正的，负有安全生产监督管理职责的部门可以自作出责令改正之日的次日起，按照原处罚数额按日连续处罚。</w:t>
            </w:r>
          </w:p>
        </w:tc>
        <w:tc>
          <w:tcPr>
            <w:tcW w:w="992" w:type="dxa"/>
            <w:vMerge w:val="restart"/>
            <w:vAlign w:val="center"/>
          </w:tcPr>
          <w:p w14:paraId="0F57E36D">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现场检查、书面检查</w:t>
            </w:r>
          </w:p>
        </w:tc>
        <w:tc>
          <w:tcPr>
            <w:tcW w:w="1139" w:type="dxa"/>
            <w:vMerge w:val="restart"/>
            <w:vAlign w:val="center"/>
          </w:tcPr>
          <w:p w14:paraId="0AAA31AB">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双随机+重点检查</w:t>
            </w:r>
          </w:p>
        </w:tc>
        <w:tc>
          <w:tcPr>
            <w:tcW w:w="1491" w:type="dxa"/>
            <w:vAlign w:val="center"/>
          </w:tcPr>
          <w:p w14:paraId="5CD136AB">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320217089000</w:t>
            </w:r>
          </w:p>
        </w:tc>
        <w:tc>
          <w:tcPr>
            <w:tcW w:w="1481" w:type="dxa"/>
            <w:vAlign w:val="center"/>
          </w:tcPr>
          <w:p w14:paraId="506F82D4">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对生产经营单位在生产经营场所和员工宿舍未设有符合紧急疏散需要、标志明显、保持畅通的出口、疏散通道，或者占用、锁闭、封堵生产经营场所或者员工宿舍出口、疏散通道的处罚</w:t>
            </w:r>
          </w:p>
        </w:tc>
        <w:tc>
          <w:tcPr>
            <w:tcW w:w="622" w:type="dxa"/>
            <w:vAlign w:val="center"/>
          </w:tcPr>
          <w:p w14:paraId="6697EB46">
            <w:pPr>
              <w:widowControl/>
              <w:autoSpaceDE w:val="0"/>
              <w:autoSpaceDN w:val="0"/>
              <w:spacing w:line="280" w:lineRule="exact"/>
              <w:jc w:val="left"/>
              <w:rPr>
                <w:rFonts w:ascii="Times New Roman" w:hAnsi="Times New Roman" w:eastAsia="仿宋_GB2312" w:cs="方正仿宋_GBK"/>
                <w:color w:val="auto"/>
                <w:szCs w:val="21"/>
              </w:rPr>
            </w:pPr>
          </w:p>
        </w:tc>
      </w:tr>
      <w:tr w14:paraId="254D70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6" w:type="dxa"/>
            <w:vMerge w:val="continue"/>
            <w:vAlign w:val="center"/>
          </w:tcPr>
          <w:p w14:paraId="7279242D">
            <w:pPr>
              <w:widowControl/>
              <w:autoSpaceDE w:val="0"/>
              <w:autoSpaceDN w:val="0"/>
              <w:spacing w:line="280" w:lineRule="exact"/>
              <w:jc w:val="left"/>
              <w:rPr>
                <w:rFonts w:ascii="Times New Roman" w:hAnsi="Times New Roman" w:eastAsia="仿宋_GB2312" w:cs="方正仿宋_GBK"/>
                <w:color w:val="auto"/>
                <w:szCs w:val="21"/>
              </w:rPr>
            </w:pPr>
          </w:p>
        </w:tc>
        <w:tc>
          <w:tcPr>
            <w:tcW w:w="1324" w:type="dxa"/>
            <w:vMerge w:val="continue"/>
            <w:vAlign w:val="center"/>
          </w:tcPr>
          <w:p w14:paraId="4B32BE06">
            <w:pPr>
              <w:widowControl/>
              <w:autoSpaceDE w:val="0"/>
              <w:autoSpaceDN w:val="0"/>
              <w:spacing w:line="280" w:lineRule="exact"/>
              <w:jc w:val="left"/>
              <w:rPr>
                <w:rFonts w:ascii="Times New Roman" w:hAnsi="Times New Roman" w:eastAsia="仿宋_GB2312" w:cs="方正仿宋_GBK"/>
                <w:color w:val="auto"/>
                <w:szCs w:val="21"/>
              </w:rPr>
            </w:pPr>
          </w:p>
        </w:tc>
        <w:tc>
          <w:tcPr>
            <w:tcW w:w="794" w:type="dxa"/>
            <w:vMerge w:val="continue"/>
            <w:vAlign w:val="center"/>
          </w:tcPr>
          <w:p w14:paraId="0A82627F">
            <w:pPr>
              <w:widowControl/>
              <w:autoSpaceDE w:val="0"/>
              <w:autoSpaceDN w:val="0"/>
              <w:spacing w:line="280" w:lineRule="exact"/>
              <w:jc w:val="left"/>
              <w:rPr>
                <w:rFonts w:ascii="Times New Roman" w:hAnsi="Times New Roman" w:eastAsia="仿宋_GB2312" w:cs="方正仿宋_GBK"/>
                <w:color w:val="auto"/>
                <w:szCs w:val="21"/>
              </w:rPr>
            </w:pPr>
          </w:p>
        </w:tc>
        <w:tc>
          <w:tcPr>
            <w:tcW w:w="872" w:type="dxa"/>
            <w:vMerge w:val="continue"/>
            <w:vAlign w:val="center"/>
          </w:tcPr>
          <w:p w14:paraId="48715E28">
            <w:pPr>
              <w:widowControl/>
              <w:autoSpaceDE w:val="0"/>
              <w:autoSpaceDN w:val="0"/>
              <w:spacing w:line="280" w:lineRule="exact"/>
              <w:jc w:val="left"/>
              <w:rPr>
                <w:rFonts w:ascii="Times New Roman" w:hAnsi="Times New Roman" w:eastAsia="仿宋_GB2312" w:cs="方正仿宋_GBK"/>
                <w:color w:val="auto"/>
                <w:szCs w:val="21"/>
              </w:rPr>
            </w:pPr>
          </w:p>
        </w:tc>
        <w:tc>
          <w:tcPr>
            <w:tcW w:w="869" w:type="dxa"/>
            <w:vMerge w:val="continue"/>
            <w:vAlign w:val="center"/>
          </w:tcPr>
          <w:p w14:paraId="05462DB1">
            <w:pPr>
              <w:widowControl/>
              <w:autoSpaceDE w:val="0"/>
              <w:autoSpaceDN w:val="0"/>
              <w:spacing w:line="280" w:lineRule="exact"/>
              <w:jc w:val="left"/>
              <w:rPr>
                <w:rFonts w:ascii="Times New Roman" w:hAnsi="Times New Roman" w:eastAsia="仿宋_GB2312" w:cs="方正仿宋_GBK"/>
                <w:color w:val="auto"/>
                <w:szCs w:val="21"/>
              </w:rPr>
            </w:pPr>
          </w:p>
        </w:tc>
        <w:tc>
          <w:tcPr>
            <w:tcW w:w="4962" w:type="dxa"/>
            <w:vAlign w:val="center"/>
          </w:tcPr>
          <w:p w14:paraId="1F12DB1D">
            <w:pPr>
              <w:widowControl/>
              <w:autoSpaceDE w:val="0"/>
              <w:autoSpaceDN w:val="0"/>
              <w:spacing w:line="27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【法律】《中华人民共和国安全生产法》</w:t>
            </w:r>
          </w:p>
          <w:p w14:paraId="41E2D3B4">
            <w:pPr>
              <w:widowControl/>
              <w:autoSpaceDE w:val="0"/>
              <w:autoSpaceDN w:val="0"/>
              <w:spacing w:line="27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第八十一条　生产经营单位应当制定本单位生产安全事故应急救援预案，与所在地县级以上地方人民政府组织制定的生产安全事故应急救援预案相衔接，并定期组织演练。</w:t>
            </w:r>
          </w:p>
          <w:p w14:paraId="5096948A">
            <w:pPr>
              <w:widowControl/>
              <w:autoSpaceDE w:val="0"/>
              <w:autoSpaceDN w:val="0"/>
              <w:spacing w:line="27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第九十七条　生产经营单位有下列行为之一的，责令限期改正，处十万元以下的罚款；逾期未改正的，责令停产停业整顿，并处十万元以上二十万元以下的罚款，对其直接负责的主管人员和其他直接责任人员处二万元以上五万元以下的罚款：</w:t>
            </w:r>
          </w:p>
          <w:p w14:paraId="7DEC337B">
            <w:pPr>
              <w:widowControl/>
              <w:autoSpaceDE w:val="0"/>
              <w:autoSpaceDN w:val="0"/>
              <w:spacing w:line="27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（六）未按照规定制定生产安全事故应急救援预案或者未定期组织演练的；</w:t>
            </w:r>
          </w:p>
        </w:tc>
        <w:tc>
          <w:tcPr>
            <w:tcW w:w="992" w:type="dxa"/>
            <w:vMerge w:val="continue"/>
            <w:vAlign w:val="center"/>
          </w:tcPr>
          <w:p w14:paraId="5F065C9A">
            <w:pPr>
              <w:widowControl/>
              <w:autoSpaceDE w:val="0"/>
              <w:autoSpaceDN w:val="0"/>
              <w:spacing w:line="280" w:lineRule="exact"/>
              <w:jc w:val="left"/>
              <w:rPr>
                <w:rFonts w:ascii="Times New Roman" w:hAnsi="Times New Roman" w:eastAsia="仿宋_GB2312" w:cs="方正仿宋_GBK"/>
                <w:color w:val="auto"/>
                <w:szCs w:val="21"/>
              </w:rPr>
            </w:pPr>
          </w:p>
        </w:tc>
        <w:tc>
          <w:tcPr>
            <w:tcW w:w="1139" w:type="dxa"/>
            <w:vMerge w:val="continue"/>
            <w:vAlign w:val="center"/>
          </w:tcPr>
          <w:p w14:paraId="2C85DB22">
            <w:pPr>
              <w:widowControl/>
              <w:autoSpaceDE w:val="0"/>
              <w:autoSpaceDN w:val="0"/>
              <w:spacing w:line="280" w:lineRule="exact"/>
              <w:jc w:val="left"/>
              <w:rPr>
                <w:rFonts w:ascii="Times New Roman" w:hAnsi="Times New Roman" w:eastAsia="仿宋_GB2312" w:cs="方正仿宋_GBK"/>
                <w:color w:val="auto"/>
                <w:szCs w:val="21"/>
              </w:rPr>
            </w:pPr>
          </w:p>
        </w:tc>
        <w:tc>
          <w:tcPr>
            <w:tcW w:w="1491" w:type="dxa"/>
            <w:vAlign w:val="center"/>
          </w:tcPr>
          <w:p w14:paraId="1CCED9A6">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320217088000</w:t>
            </w:r>
          </w:p>
        </w:tc>
        <w:tc>
          <w:tcPr>
            <w:tcW w:w="1481" w:type="dxa"/>
            <w:vAlign w:val="center"/>
          </w:tcPr>
          <w:p w14:paraId="2F0A0058">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对生产经营单位未按照规定制定生产安全事故应急救援预案或者未定期组织演练的处罚</w:t>
            </w:r>
          </w:p>
        </w:tc>
        <w:tc>
          <w:tcPr>
            <w:tcW w:w="622" w:type="dxa"/>
            <w:vAlign w:val="center"/>
          </w:tcPr>
          <w:p w14:paraId="06EECBBA">
            <w:pPr>
              <w:widowControl/>
              <w:autoSpaceDE w:val="0"/>
              <w:autoSpaceDN w:val="0"/>
              <w:spacing w:line="280" w:lineRule="exact"/>
              <w:jc w:val="left"/>
              <w:rPr>
                <w:rFonts w:ascii="Times New Roman" w:hAnsi="Times New Roman" w:eastAsia="仿宋_GB2312" w:cs="方正仿宋_GBK"/>
                <w:color w:val="auto"/>
                <w:szCs w:val="21"/>
              </w:rPr>
            </w:pPr>
          </w:p>
        </w:tc>
      </w:tr>
      <w:tr w14:paraId="7DE4B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0" w:hRule="atLeast"/>
          <w:jc w:val="center"/>
        </w:trPr>
        <w:tc>
          <w:tcPr>
            <w:tcW w:w="536" w:type="dxa"/>
            <w:vMerge w:val="restart"/>
            <w:vAlign w:val="center"/>
          </w:tcPr>
          <w:p w14:paraId="683DEB4F">
            <w:pPr>
              <w:autoSpaceDE w:val="0"/>
              <w:autoSpaceDN w:val="0"/>
              <w:spacing w:line="280" w:lineRule="exact"/>
              <w:jc w:val="center"/>
              <w:rPr>
                <w:rFonts w:hint="default" w:ascii="Times New Roman" w:hAnsi="Times New Roman" w:eastAsia="仿宋_GB2312" w:cs="方正仿宋_GBK"/>
                <w:color w:val="auto"/>
                <w:szCs w:val="21"/>
                <w:lang w:val="en-US" w:eastAsia="zh-CN"/>
              </w:rPr>
            </w:pPr>
            <w:r>
              <w:rPr>
                <w:rFonts w:hint="eastAsia" w:ascii="Times New Roman" w:hAnsi="Times New Roman" w:eastAsia="仿宋_GB2312" w:cs="方正仿宋_GBK"/>
                <w:color w:val="auto"/>
                <w:szCs w:val="21"/>
                <w:lang w:val="en-US" w:eastAsia="zh-CN"/>
              </w:rPr>
              <w:t>15</w:t>
            </w:r>
          </w:p>
        </w:tc>
        <w:tc>
          <w:tcPr>
            <w:tcW w:w="1324" w:type="dxa"/>
            <w:vMerge w:val="restart"/>
            <w:vAlign w:val="center"/>
          </w:tcPr>
          <w:p w14:paraId="56154CDC">
            <w:pPr>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对房屋市政工程质量、安全及文明施工情况的行政检查</w:t>
            </w:r>
          </w:p>
        </w:tc>
        <w:tc>
          <w:tcPr>
            <w:tcW w:w="794" w:type="dxa"/>
            <w:vMerge w:val="restart"/>
            <w:vAlign w:val="center"/>
          </w:tcPr>
          <w:p w14:paraId="490FBDA0">
            <w:pPr>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苏州市相城区住房和城乡建设局</w:t>
            </w:r>
          </w:p>
        </w:tc>
        <w:tc>
          <w:tcPr>
            <w:tcW w:w="872" w:type="dxa"/>
            <w:vMerge w:val="restart"/>
            <w:vAlign w:val="center"/>
          </w:tcPr>
          <w:p w14:paraId="2F7A3359">
            <w:pPr>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相城区建设工程质量安全监督中心</w:t>
            </w:r>
          </w:p>
        </w:tc>
        <w:tc>
          <w:tcPr>
            <w:tcW w:w="869" w:type="dxa"/>
            <w:vMerge w:val="restart"/>
            <w:vAlign w:val="center"/>
          </w:tcPr>
          <w:p w14:paraId="782E7E0A">
            <w:pPr>
              <w:widowControl/>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建设</w:t>
            </w:r>
          </w:p>
          <w:p w14:paraId="354BFC07">
            <w:pPr>
              <w:widowControl/>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单位</w:t>
            </w:r>
          </w:p>
        </w:tc>
        <w:tc>
          <w:tcPr>
            <w:tcW w:w="4962" w:type="dxa"/>
            <w:vAlign w:val="center"/>
          </w:tcPr>
          <w:p w14:paraId="6A71DBC8">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【行政法规】《建设工程质量管理条例》</w:t>
            </w:r>
          </w:p>
          <w:p w14:paraId="56785467">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第十条第二款　建设单位不得明示或者暗示设计单位或者施工单位违反工程建设强制性标准，降低建设工程质量。</w:t>
            </w:r>
          </w:p>
          <w:p w14:paraId="1A53A0CE">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第五十六条　违反本条例规定，建设单位有下列行为之一的，责令改正，处20万元以上50万元以下的罚款：</w:t>
            </w:r>
          </w:p>
          <w:p w14:paraId="78439B46">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（三）明示或者暗示设计单位或者施工单位违反工程建设强制性标准，降低工程质量的。</w:t>
            </w:r>
          </w:p>
          <w:p w14:paraId="383F118B">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第七十三条  依照本条例规定，给予单位罚款处罚的，对单位直接负责的主管人员和其他直接责任人员处单位罚款数额5％以上10％以下的罚款。</w:t>
            </w:r>
          </w:p>
          <w:p w14:paraId="7BAB6C30">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第七十五条第一款  本条例规定的责令停业整顿、降低资质等级和吊销资质证书的行政处罚，由颁发资质证书的机关决定；其他行政处罚，由建设行政主管部门或者其他有关部门依照法定职权决定。</w:t>
            </w:r>
          </w:p>
        </w:tc>
        <w:tc>
          <w:tcPr>
            <w:tcW w:w="992" w:type="dxa"/>
            <w:vMerge w:val="restart"/>
            <w:vAlign w:val="center"/>
          </w:tcPr>
          <w:p w14:paraId="346EE946">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现场检查、书面检查</w:t>
            </w:r>
          </w:p>
        </w:tc>
        <w:tc>
          <w:tcPr>
            <w:tcW w:w="1139" w:type="dxa"/>
            <w:vMerge w:val="restart"/>
            <w:vAlign w:val="center"/>
          </w:tcPr>
          <w:p w14:paraId="3577120D">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双随机+重点检查</w:t>
            </w:r>
          </w:p>
        </w:tc>
        <w:tc>
          <w:tcPr>
            <w:tcW w:w="1491" w:type="dxa"/>
            <w:vAlign w:val="center"/>
          </w:tcPr>
          <w:p w14:paraId="5449F076">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320217083000</w:t>
            </w:r>
          </w:p>
        </w:tc>
        <w:tc>
          <w:tcPr>
            <w:tcW w:w="1481" w:type="dxa"/>
            <w:vAlign w:val="center"/>
          </w:tcPr>
          <w:p w14:paraId="07DED6C5">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对建设单位明示或者暗示建筑设计单位或者建筑施工企业违反工程建设强制性标准，降低工程质量行为的处罚</w:t>
            </w:r>
          </w:p>
        </w:tc>
        <w:tc>
          <w:tcPr>
            <w:tcW w:w="622" w:type="dxa"/>
            <w:vAlign w:val="center"/>
          </w:tcPr>
          <w:p w14:paraId="1D8313AF">
            <w:pPr>
              <w:widowControl/>
              <w:autoSpaceDE w:val="0"/>
              <w:autoSpaceDN w:val="0"/>
              <w:spacing w:line="280" w:lineRule="exact"/>
              <w:jc w:val="left"/>
              <w:rPr>
                <w:rFonts w:ascii="Times New Roman" w:hAnsi="Times New Roman" w:eastAsia="仿宋_GB2312" w:cs="方正仿宋_GBK"/>
                <w:color w:val="auto"/>
                <w:szCs w:val="21"/>
              </w:rPr>
            </w:pPr>
          </w:p>
        </w:tc>
      </w:tr>
      <w:tr w14:paraId="715F4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1" w:hRule="atLeast"/>
          <w:jc w:val="center"/>
        </w:trPr>
        <w:tc>
          <w:tcPr>
            <w:tcW w:w="536" w:type="dxa"/>
            <w:vMerge w:val="continue"/>
            <w:vAlign w:val="center"/>
          </w:tcPr>
          <w:p w14:paraId="1025DE3E">
            <w:pPr>
              <w:widowControl/>
              <w:autoSpaceDE w:val="0"/>
              <w:autoSpaceDN w:val="0"/>
              <w:spacing w:line="280" w:lineRule="exact"/>
              <w:jc w:val="left"/>
              <w:rPr>
                <w:rFonts w:ascii="Times New Roman" w:hAnsi="Times New Roman" w:eastAsia="仿宋_GB2312" w:cs="方正仿宋_GBK"/>
                <w:color w:val="auto"/>
                <w:szCs w:val="21"/>
              </w:rPr>
            </w:pPr>
          </w:p>
        </w:tc>
        <w:tc>
          <w:tcPr>
            <w:tcW w:w="1324" w:type="dxa"/>
            <w:vMerge w:val="continue"/>
            <w:vAlign w:val="center"/>
          </w:tcPr>
          <w:p w14:paraId="1B0C623C">
            <w:pPr>
              <w:widowControl/>
              <w:autoSpaceDE w:val="0"/>
              <w:autoSpaceDN w:val="0"/>
              <w:spacing w:line="280" w:lineRule="exact"/>
              <w:jc w:val="left"/>
              <w:rPr>
                <w:rFonts w:ascii="Times New Roman" w:hAnsi="Times New Roman" w:eastAsia="仿宋_GB2312" w:cs="方正仿宋_GBK"/>
                <w:color w:val="auto"/>
                <w:szCs w:val="21"/>
              </w:rPr>
            </w:pPr>
          </w:p>
        </w:tc>
        <w:tc>
          <w:tcPr>
            <w:tcW w:w="794" w:type="dxa"/>
            <w:vMerge w:val="continue"/>
            <w:vAlign w:val="center"/>
          </w:tcPr>
          <w:p w14:paraId="631090E1">
            <w:pPr>
              <w:widowControl/>
              <w:autoSpaceDE w:val="0"/>
              <w:autoSpaceDN w:val="0"/>
              <w:spacing w:line="280" w:lineRule="exact"/>
              <w:jc w:val="left"/>
              <w:rPr>
                <w:rFonts w:ascii="Times New Roman" w:hAnsi="Times New Roman" w:eastAsia="仿宋_GB2312" w:cs="方正仿宋_GBK"/>
                <w:color w:val="auto"/>
                <w:szCs w:val="21"/>
              </w:rPr>
            </w:pPr>
          </w:p>
        </w:tc>
        <w:tc>
          <w:tcPr>
            <w:tcW w:w="872" w:type="dxa"/>
            <w:vMerge w:val="continue"/>
            <w:vAlign w:val="center"/>
          </w:tcPr>
          <w:p w14:paraId="701239E4">
            <w:pPr>
              <w:widowControl/>
              <w:autoSpaceDE w:val="0"/>
              <w:autoSpaceDN w:val="0"/>
              <w:spacing w:line="280" w:lineRule="exact"/>
              <w:jc w:val="left"/>
              <w:rPr>
                <w:rFonts w:ascii="Times New Roman" w:hAnsi="Times New Roman" w:eastAsia="仿宋_GB2312" w:cs="方正仿宋_GBK"/>
                <w:color w:val="auto"/>
                <w:szCs w:val="21"/>
              </w:rPr>
            </w:pPr>
          </w:p>
        </w:tc>
        <w:tc>
          <w:tcPr>
            <w:tcW w:w="869" w:type="dxa"/>
            <w:vMerge w:val="continue"/>
            <w:vAlign w:val="center"/>
          </w:tcPr>
          <w:p w14:paraId="7A73758F">
            <w:pPr>
              <w:widowControl/>
              <w:autoSpaceDE w:val="0"/>
              <w:autoSpaceDN w:val="0"/>
              <w:spacing w:line="280" w:lineRule="exact"/>
              <w:jc w:val="left"/>
              <w:rPr>
                <w:rFonts w:ascii="Times New Roman" w:hAnsi="Times New Roman" w:eastAsia="仿宋_GB2312" w:cs="方正仿宋_GBK"/>
                <w:color w:val="auto"/>
                <w:szCs w:val="21"/>
              </w:rPr>
            </w:pPr>
          </w:p>
        </w:tc>
        <w:tc>
          <w:tcPr>
            <w:tcW w:w="4962" w:type="dxa"/>
            <w:vAlign w:val="center"/>
          </w:tcPr>
          <w:p w14:paraId="41D72FC9">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【行政法规】《建设工程质量管理条例》</w:t>
            </w:r>
          </w:p>
          <w:p w14:paraId="498DD1C2">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第十条第一款　建设工程发包单位不得迫使承包方以低于成本的价格竞标，不得任意压缩合理工期。</w:t>
            </w:r>
          </w:p>
          <w:p w14:paraId="66634157">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第五十六条　违反本条例规定，建设单位有下列行为之一的，责令改正，处20万元以上50万元以下的罚款：</w:t>
            </w:r>
          </w:p>
          <w:p w14:paraId="672BAF0A">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（二）任意压缩合理工期的。</w:t>
            </w:r>
          </w:p>
          <w:p w14:paraId="6B58644D">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第七十三条  依照本条例规定，给予单位罚款处罚的，对单位直接负责的主管人员和其他直接责任人员处单位罚款数额5％以上10％以下的罚款。</w:t>
            </w:r>
          </w:p>
        </w:tc>
        <w:tc>
          <w:tcPr>
            <w:tcW w:w="992" w:type="dxa"/>
            <w:vMerge w:val="continue"/>
            <w:vAlign w:val="center"/>
          </w:tcPr>
          <w:p w14:paraId="2247A2C5">
            <w:pPr>
              <w:widowControl/>
              <w:autoSpaceDE w:val="0"/>
              <w:autoSpaceDN w:val="0"/>
              <w:spacing w:line="280" w:lineRule="exact"/>
              <w:jc w:val="left"/>
              <w:rPr>
                <w:rFonts w:ascii="Times New Roman" w:hAnsi="Times New Roman" w:eastAsia="仿宋_GB2312" w:cs="方正仿宋_GBK"/>
                <w:color w:val="auto"/>
                <w:szCs w:val="21"/>
              </w:rPr>
            </w:pPr>
          </w:p>
        </w:tc>
        <w:tc>
          <w:tcPr>
            <w:tcW w:w="1139" w:type="dxa"/>
            <w:vMerge w:val="continue"/>
            <w:vAlign w:val="center"/>
          </w:tcPr>
          <w:p w14:paraId="3C5DAAC6">
            <w:pPr>
              <w:widowControl/>
              <w:autoSpaceDE w:val="0"/>
              <w:autoSpaceDN w:val="0"/>
              <w:spacing w:line="280" w:lineRule="exact"/>
              <w:jc w:val="left"/>
              <w:rPr>
                <w:rFonts w:ascii="Times New Roman" w:hAnsi="Times New Roman" w:eastAsia="仿宋_GB2312" w:cs="方正仿宋_GBK"/>
                <w:color w:val="auto"/>
                <w:szCs w:val="21"/>
              </w:rPr>
            </w:pPr>
          </w:p>
        </w:tc>
        <w:tc>
          <w:tcPr>
            <w:tcW w:w="1491" w:type="dxa"/>
            <w:vAlign w:val="center"/>
          </w:tcPr>
          <w:p w14:paraId="25C9287A">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320217082000</w:t>
            </w:r>
          </w:p>
        </w:tc>
        <w:tc>
          <w:tcPr>
            <w:tcW w:w="1481" w:type="dxa"/>
            <w:vAlign w:val="center"/>
          </w:tcPr>
          <w:p w14:paraId="03D38192">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对建设单位任意压缩工期的处罚</w:t>
            </w:r>
          </w:p>
        </w:tc>
        <w:tc>
          <w:tcPr>
            <w:tcW w:w="622" w:type="dxa"/>
            <w:vAlign w:val="center"/>
          </w:tcPr>
          <w:p w14:paraId="1AD1965A">
            <w:pPr>
              <w:widowControl/>
              <w:autoSpaceDE w:val="0"/>
              <w:autoSpaceDN w:val="0"/>
              <w:spacing w:line="280" w:lineRule="exact"/>
              <w:jc w:val="left"/>
              <w:rPr>
                <w:rFonts w:ascii="Times New Roman" w:hAnsi="Times New Roman" w:eastAsia="仿宋_GB2312" w:cs="方正仿宋_GBK"/>
                <w:color w:val="auto"/>
                <w:szCs w:val="21"/>
              </w:rPr>
            </w:pPr>
          </w:p>
        </w:tc>
      </w:tr>
      <w:tr w14:paraId="2BF47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87" w:hRule="atLeast"/>
          <w:jc w:val="center"/>
        </w:trPr>
        <w:tc>
          <w:tcPr>
            <w:tcW w:w="536" w:type="dxa"/>
            <w:vMerge w:val="restart"/>
            <w:vAlign w:val="center"/>
          </w:tcPr>
          <w:p w14:paraId="17B99FC4">
            <w:pPr>
              <w:autoSpaceDE w:val="0"/>
              <w:autoSpaceDN w:val="0"/>
              <w:spacing w:line="280" w:lineRule="exact"/>
              <w:jc w:val="center"/>
              <w:rPr>
                <w:rFonts w:hint="default" w:ascii="Times New Roman" w:hAnsi="Times New Roman" w:eastAsia="仿宋_GB2312" w:cs="方正仿宋_GBK"/>
                <w:color w:val="auto"/>
                <w:szCs w:val="21"/>
                <w:lang w:val="en-US" w:eastAsia="zh-CN"/>
              </w:rPr>
            </w:pPr>
            <w:r>
              <w:rPr>
                <w:rFonts w:hint="eastAsia" w:ascii="Times New Roman" w:hAnsi="Times New Roman" w:eastAsia="仿宋_GB2312" w:cs="方正仿宋_GBK"/>
                <w:color w:val="auto"/>
                <w:szCs w:val="21"/>
                <w:lang w:val="en-US" w:eastAsia="zh-CN"/>
              </w:rPr>
              <w:t>15</w:t>
            </w:r>
          </w:p>
        </w:tc>
        <w:tc>
          <w:tcPr>
            <w:tcW w:w="1324" w:type="dxa"/>
            <w:vMerge w:val="restart"/>
            <w:vAlign w:val="center"/>
          </w:tcPr>
          <w:p w14:paraId="26D75681">
            <w:pPr>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对房屋市政工程质量、安全及文明施工情况的行政检查</w:t>
            </w:r>
          </w:p>
        </w:tc>
        <w:tc>
          <w:tcPr>
            <w:tcW w:w="794" w:type="dxa"/>
            <w:vMerge w:val="restart"/>
            <w:vAlign w:val="center"/>
          </w:tcPr>
          <w:p w14:paraId="52DC8B03">
            <w:pPr>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苏州市相城区住房和城乡建设局</w:t>
            </w:r>
          </w:p>
        </w:tc>
        <w:tc>
          <w:tcPr>
            <w:tcW w:w="872" w:type="dxa"/>
            <w:vMerge w:val="restart"/>
            <w:vAlign w:val="center"/>
          </w:tcPr>
          <w:p w14:paraId="317F4971">
            <w:pPr>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相城区建设工程质量安全监督中心</w:t>
            </w:r>
          </w:p>
        </w:tc>
        <w:tc>
          <w:tcPr>
            <w:tcW w:w="869" w:type="dxa"/>
            <w:vAlign w:val="center"/>
          </w:tcPr>
          <w:p w14:paraId="5DA579EB">
            <w:pPr>
              <w:widowControl/>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建设</w:t>
            </w:r>
          </w:p>
          <w:p w14:paraId="2C567B83">
            <w:pPr>
              <w:widowControl/>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单位</w:t>
            </w:r>
          </w:p>
        </w:tc>
        <w:tc>
          <w:tcPr>
            <w:tcW w:w="4962" w:type="dxa"/>
            <w:vAlign w:val="center"/>
          </w:tcPr>
          <w:p w14:paraId="38E26686">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第七十五条第一款  本条例规定的责令停业整顿、降低资质等级和吊销资质证书的行政处罚，由颁发资质证书的机关决定；其他行政处罚，由建设行政主管部门或者其他有关部门依照法定职权决定。</w:t>
            </w:r>
          </w:p>
          <w:p w14:paraId="6F621658">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【行政法规】《建设工程安全生产管理条例》</w:t>
            </w:r>
          </w:p>
          <w:p w14:paraId="79C024F9">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第五十五条　违反本条例的规定，建设单位有下列行为之一的，责令限期改正，处20万元以上50万元以下的罚款；造成重大安全事故，构成犯罪的，对直接责任人员，依照刑法有关规定追究刑事责任；造成损失的，依法承担赔偿责任：</w:t>
            </w:r>
          </w:p>
          <w:p w14:paraId="430016E4">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（二）要求施工单位压缩合同约定的工期的。</w:t>
            </w:r>
          </w:p>
          <w:p w14:paraId="436179A9">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第六十八条　本条例规定的行政处罚，由建设行政主管部门或者其他有关部门依照法定职权决定。违反消防安全管理规定的行为，由公安消防机构依法处罚。有关法律、行政法规对建设工程安全生产违法行为的行政处罚决定机关另有规定的，从其规定。</w:t>
            </w:r>
          </w:p>
        </w:tc>
        <w:tc>
          <w:tcPr>
            <w:tcW w:w="992" w:type="dxa"/>
            <w:vMerge w:val="restart"/>
            <w:vAlign w:val="center"/>
          </w:tcPr>
          <w:p w14:paraId="498F3717">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现场检查、书面检查</w:t>
            </w:r>
          </w:p>
        </w:tc>
        <w:tc>
          <w:tcPr>
            <w:tcW w:w="1139" w:type="dxa"/>
            <w:vMerge w:val="restart"/>
            <w:vAlign w:val="center"/>
          </w:tcPr>
          <w:p w14:paraId="72A1D2B2">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双随机+重点检查</w:t>
            </w:r>
          </w:p>
        </w:tc>
        <w:tc>
          <w:tcPr>
            <w:tcW w:w="1491" w:type="dxa"/>
            <w:vAlign w:val="center"/>
          </w:tcPr>
          <w:p w14:paraId="62CA4913">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320217082000</w:t>
            </w:r>
          </w:p>
        </w:tc>
        <w:tc>
          <w:tcPr>
            <w:tcW w:w="1481" w:type="dxa"/>
            <w:vAlign w:val="center"/>
          </w:tcPr>
          <w:p w14:paraId="70C665EB">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对建设单位任意压缩工期的处罚</w:t>
            </w:r>
          </w:p>
        </w:tc>
        <w:tc>
          <w:tcPr>
            <w:tcW w:w="622" w:type="dxa"/>
            <w:vAlign w:val="center"/>
          </w:tcPr>
          <w:p w14:paraId="3FD4747C">
            <w:pPr>
              <w:widowControl/>
              <w:autoSpaceDE w:val="0"/>
              <w:autoSpaceDN w:val="0"/>
              <w:spacing w:line="280" w:lineRule="exact"/>
              <w:jc w:val="left"/>
              <w:rPr>
                <w:rFonts w:ascii="Times New Roman" w:hAnsi="Times New Roman" w:eastAsia="仿宋_GB2312" w:cs="方正仿宋_GBK"/>
                <w:color w:val="auto"/>
                <w:szCs w:val="21"/>
              </w:rPr>
            </w:pPr>
          </w:p>
        </w:tc>
      </w:tr>
      <w:tr w14:paraId="7CB2B3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9" w:hRule="atLeast"/>
          <w:jc w:val="center"/>
        </w:trPr>
        <w:tc>
          <w:tcPr>
            <w:tcW w:w="536" w:type="dxa"/>
            <w:vMerge w:val="continue"/>
            <w:vAlign w:val="center"/>
          </w:tcPr>
          <w:p w14:paraId="2306E2DB">
            <w:pPr>
              <w:widowControl/>
              <w:autoSpaceDE w:val="0"/>
              <w:autoSpaceDN w:val="0"/>
              <w:spacing w:line="280" w:lineRule="exact"/>
              <w:jc w:val="left"/>
              <w:rPr>
                <w:rFonts w:ascii="Times New Roman" w:hAnsi="Times New Roman" w:eastAsia="仿宋_GB2312" w:cs="方正仿宋_GBK"/>
                <w:color w:val="auto"/>
                <w:szCs w:val="21"/>
              </w:rPr>
            </w:pPr>
          </w:p>
        </w:tc>
        <w:tc>
          <w:tcPr>
            <w:tcW w:w="1324" w:type="dxa"/>
            <w:vMerge w:val="continue"/>
            <w:vAlign w:val="center"/>
          </w:tcPr>
          <w:p w14:paraId="5F38A012">
            <w:pPr>
              <w:widowControl/>
              <w:autoSpaceDE w:val="0"/>
              <w:autoSpaceDN w:val="0"/>
              <w:spacing w:line="280" w:lineRule="exact"/>
              <w:jc w:val="left"/>
              <w:rPr>
                <w:rFonts w:ascii="Times New Roman" w:hAnsi="Times New Roman" w:eastAsia="仿宋_GB2312" w:cs="方正仿宋_GBK"/>
                <w:color w:val="auto"/>
                <w:szCs w:val="21"/>
              </w:rPr>
            </w:pPr>
          </w:p>
        </w:tc>
        <w:tc>
          <w:tcPr>
            <w:tcW w:w="794" w:type="dxa"/>
            <w:vMerge w:val="continue"/>
            <w:vAlign w:val="center"/>
          </w:tcPr>
          <w:p w14:paraId="75D501A1">
            <w:pPr>
              <w:widowControl/>
              <w:autoSpaceDE w:val="0"/>
              <w:autoSpaceDN w:val="0"/>
              <w:spacing w:line="280" w:lineRule="exact"/>
              <w:jc w:val="left"/>
              <w:rPr>
                <w:rFonts w:ascii="Times New Roman" w:hAnsi="Times New Roman" w:eastAsia="仿宋_GB2312" w:cs="方正仿宋_GBK"/>
                <w:color w:val="auto"/>
                <w:szCs w:val="21"/>
              </w:rPr>
            </w:pPr>
          </w:p>
        </w:tc>
        <w:tc>
          <w:tcPr>
            <w:tcW w:w="872" w:type="dxa"/>
            <w:vMerge w:val="continue"/>
            <w:vAlign w:val="center"/>
          </w:tcPr>
          <w:p w14:paraId="038CA637">
            <w:pPr>
              <w:widowControl/>
              <w:autoSpaceDE w:val="0"/>
              <w:autoSpaceDN w:val="0"/>
              <w:spacing w:line="280" w:lineRule="exact"/>
              <w:jc w:val="left"/>
              <w:rPr>
                <w:rFonts w:ascii="Times New Roman" w:hAnsi="Times New Roman" w:eastAsia="仿宋_GB2312" w:cs="方正仿宋_GBK"/>
                <w:color w:val="auto"/>
                <w:szCs w:val="21"/>
              </w:rPr>
            </w:pPr>
          </w:p>
        </w:tc>
        <w:tc>
          <w:tcPr>
            <w:tcW w:w="869" w:type="dxa"/>
            <w:vAlign w:val="center"/>
          </w:tcPr>
          <w:p w14:paraId="6F2FCBEB">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专职安全生产管理人员</w:t>
            </w:r>
          </w:p>
        </w:tc>
        <w:tc>
          <w:tcPr>
            <w:tcW w:w="4962" w:type="dxa"/>
            <w:vAlign w:val="center"/>
          </w:tcPr>
          <w:p w14:paraId="27CD10F4">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【行政法规】《生产安全事故报告和调查处理条例》</w:t>
            </w:r>
          </w:p>
          <w:p w14:paraId="4398E5CB">
            <w:pPr>
              <w:widowControl/>
              <w:autoSpaceDE w:val="0"/>
              <w:autoSpaceDN w:val="0"/>
              <w:spacing w:line="280" w:lineRule="exact"/>
              <w:ind w:firstLine="42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第四十条  事故发生单位对事故发生负有责任的，由有关部门依法暂扣或者吊销其有关证照；对事故发生单位负有事故责任的有关人员，依法暂停或者撤销其与安全生产有关的执业资格、岗位证书；事故发生单位主要负责人受到刑事处罚或者撤职处分的，自刑罚执行完毕或者受处分之日起，5年内不得担任任何生产经营单位的主要负责人。</w:t>
            </w:r>
          </w:p>
        </w:tc>
        <w:tc>
          <w:tcPr>
            <w:tcW w:w="992" w:type="dxa"/>
            <w:vMerge w:val="continue"/>
            <w:vAlign w:val="center"/>
          </w:tcPr>
          <w:p w14:paraId="1473A37C">
            <w:pPr>
              <w:widowControl/>
              <w:autoSpaceDE w:val="0"/>
              <w:autoSpaceDN w:val="0"/>
              <w:spacing w:line="280" w:lineRule="exact"/>
              <w:jc w:val="left"/>
              <w:rPr>
                <w:rFonts w:ascii="Times New Roman" w:hAnsi="Times New Roman" w:eastAsia="仿宋_GB2312" w:cs="方正仿宋_GBK"/>
                <w:color w:val="auto"/>
                <w:szCs w:val="21"/>
              </w:rPr>
            </w:pPr>
          </w:p>
        </w:tc>
        <w:tc>
          <w:tcPr>
            <w:tcW w:w="1139" w:type="dxa"/>
            <w:vMerge w:val="continue"/>
            <w:vAlign w:val="center"/>
          </w:tcPr>
          <w:p w14:paraId="101835B7">
            <w:pPr>
              <w:widowControl/>
              <w:autoSpaceDE w:val="0"/>
              <w:autoSpaceDN w:val="0"/>
              <w:spacing w:line="280" w:lineRule="exact"/>
              <w:jc w:val="left"/>
              <w:rPr>
                <w:rFonts w:ascii="Times New Roman" w:hAnsi="Times New Roman" w:eastAsia="仿宋_GB2312" w:cs="方正仿宋_GBK"/>
                <w:color w:val="auto"/>
                <w:szCs w:val="21"/>
              </w:rPr>
            </w:pPr>
          </w:p>
        </w:tc>
        <w:tc>
          <w:tcPr>
            <w:tcW w:w="1491" w:type="dxa"/>
            <w:vAlign w:val="center"/>
          </w:tcPr>
          <w:p w14:paraId="60751D68">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320217077000</w:t>
            </w:r>
          </w:p>
        </w:tc>
        <w:tc>
          <w:tcPr>
            <w:tcW w:w="1481" w:type="dxa"/>
            <w:vAlign w:val="center"/>
          </w:tcPr>
          <w:p w14:paraId="692E94AB">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对专职安全生产管理人员未按规定履行安全生产管理职责的处罚</w:t>
            </w:r>
          </w:p>
        </w:tc>
        <w:tc>
          <w:tcPr>
            <w:tcW w:w="622" w:type="dxa"/>
            <w:vAlign w:val="center"/>
          </w:tcPr>
          <w:p w14:paraId="72B35D46">
            <w:pPr>
              <w:widowControl/>
              <w:autoSpaceDE w:val="0"/>
              <w:autoSpaceDN w:val="0"/>
              <w:spacing w:line="280" w:lineRule="exact"/>
              <w:jc w:val="left"/>
              <w:rPr>
                <w:rFonts w:ascii="Times New Roman" w:hAnsi="Times New Roman" w:eastAsia="仿宋_GB2312" w:cs="方正仿宋_GBK"/>
                <w:color w:val="auto"/>
                <w:szCs w:val="21"/>
              </w:rPr>
            </w:pPr>
          </w:p>
        </w:tc>
      </w:tr>
      <w:tr w14:paraId="7DED4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6" w:type="dxa"/>
            <w:vMerge w:val="restart"/>
            <w:vAlign w:val="center"/>
          </w:tcPr>
          <w:p w14:paraId="4AC6A2D0">
            <w:pPr>
              <w:autoSpaceDE w:val="0"/>
              <w:autoSpaceDN w:val="0"/>
              <w:spacing w:line="280" w:lineRule="exact"/>
              <w:jc w:val="center"/>
              <w:rPr>
                <w:rFonts w:hint="default" w:ascii="Times New Roman" w:hAnsi="Times New Roman" w:eastAsia="仿宋_GB2312" w:cs="方正仿宋_GBK"/>
                <w:color w:val="auto"/>
                <w:szCs w:val="21"/>
                <w:lang w:val="en-US" w:eastAsia="zh-CN"/>
              </w:rPr>
            </w:pPr>
            <w:r>
              <w:rPr>
                <w:rFonts w:hint="eastAsia" w:ascii="Times New Roman" w:hAnsi="Times New Roman" w:eastAsia="仿宋_GB2312" w:cs="方正仿宋_GBK"/>
                <w:color w:val="auto"/>
                <w:szCs w:val="21"/>
                <w:lang w:val="en-US" w:eastAsia="zh-CN"/>
              </w:rPr>
              <w:t>15</w:t>
            </w:r>
          </w:p>
        </w:tc>
        <w:tc>
          <w:tcPr>
            <w:tcW w:w="1324" w:type="dxa"/>
            <w:vMerge w:val="restart"/>
            <w:vAlign w:val="center"/>
          </w:tcPr>
          <w:p w14:paraId="5E8FC79E">
            <w:pPr>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对房屋市政工程质量、安全及文明施工情况的行政检查</w:t>
            </w:r>
          </w:p>
        </w:tc>
        <w:tc>
          <w:tcPr>
            <w:tcW w:w="794" w:type="dxa"/>
            <w:vMerge w:val="restart"/>
            <w:vAlign w:val="center"/>
          </w:tcPr>
          <w:p w14:paraId="2AC11549">
            <w:pPr>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苏州市相城区住房和城乡建设局</w:t>
            </w:r>
          </w:p>
        </w:tc>
        <w:tc>
          <w:tcPr>
            <w:tcW w:w="872" w:type="dxa"/>
            <w:vMerge w:val="restart"/>
            <w:vAlign w:val="center"/>
          </w:tcPr>
          <w:p w14:paraId="13131CC5">
            <w:pPr>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相城区建设工程质量安全监督中心</w:t>
            </w:r>
          </w:p>
        </w:tc>
        <w:tc>
          <w:tcPr>
            <w:tcW w:w="869" w:type="dxa"/>
            <w:vAlign w:val="center"/>
          </w:tcPr>
          <w:p w14:paraId="4B512863">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专职安全生产管理人员</w:t>
            </w:r>
          </w:p>
        </w:tc>
        <w:tc>
          <w:tcPr>
            <w:tcW w:w="4962" w:type="dxa"/>
            <w:vAlign w:val="center"/>
          </w:tcPr>
          <w:p w14:paraId="71D601E7">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【规章】《建筑施工企业主要负责人、项目负责人和专职安全生产管理人员安全生产管理规定》</w:t>
            </w:r>
          </w:p>
          <w:p w14:paraId="6DDB2920">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第三十三条　专职安全生产管理人员未按规定履行安全生产管理职责的，由县级以上地方人民政府住房城乡建设主管部门责令限期改正，并处1000元以上5000元以下的罚款；造成生产安全事故或者其他严重后果的，按照《生产安全事故报告和调查处理条例》的有关规定，依法暂扣或者吊销安全生产考核合格证书；构成犯罪的，依法追究刑事责任。</w:t>
            </w:r>
          </w:p>
        </w:tc>
        <w:tc>
          <w:tcPr>
            <w:tcW w:w="992" w:type="dxa"/>
            <w:vAlign w:val="center"/>
          </w:tcPr>
          <w:p w14:paraId="0D16A569">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现场检查、书面检查</w:t>
            </w:r>
          </w:p>
        </w:tc>
        <w:tc>
          <w:tcPr>
            <w:tcW w:w="1139" w:type="dxa"/>
            <w:vAlign w:val="center"/>
          </w:tcPr>
          <w:p w14:paraId="47008755">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双随机+重点检查</w:t>
            </w:r>
          </w:p>
        </w:tc>
        <w:tc>
          <w:tcPr>
            <w:tcW w:w="1491" w:type="dxa"/>
            <w:vAlign w:val="center"/>
          </w:tcPr>
          <w:p w14:paraId="669595F5">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320217077000</w:t>
            </w:r>
          </w:p>
        </w:tc>
        <w:tc>
          <w:tcPr>
            <w:tcW w:w="1481" w:type="dxa"/>
            <w:vAlign w:val="center"/>
          </w:tcPr>
          <w:p w14:paraId="7F192C4B">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对专职安全生产管理人员未按规定履行安全生产管理职责的处罚</w:t>
            </w:r>
          </w:p>
        </w:tc>
        <w:tc>
          <w:tcPr>
            <w:tcW w:w="622" w:type="dxa"/>
            <w:vAlign w:val="center"/>
          </w:tcPr>
          <w:p w14:paraId="03A870D7">
            <w:pPr>
              <w:widowControl/>
              <w:autoSpaceDE w:val="0"/>
              <w:autoSpaceDN w:val="0"/>
              <w:spacing w:line="280" w:lineRule="exact"/>
              <w:jc w:val="left"/>
              <w:rPr>
                <w:rFonts w:ascii="Times New Roman" w:hAnsi="Times New Roman" w:eastAsia="仿宋_GB2312" w:cs="方正仿宋_GBK"/>
                <w:color w:val="auto"/>
                <w:szCs w:val="21"/>
              </w:rPr>
            </w:pPr>
          </w:p>
        </w:tc>
      </w:tr>
      <w:tr w14:paraId="0D157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6" w:type="dxa"/>
            <w:vMerge w:val="continue"/>
            <w:vAlign w:val="center"/>
          </w:tcPr>
          <w:p w14:paraId="79B75A26">
            <w:pPr>
              <w:widowControl/>
              <w:autoSpaceDE w:val="0"/>
              <w:autoSpaceDN w:val="0"/>
              <w:spacing w:line="280" w:lineRule="exact"/>
              <w:jc w:val="left"/>
              <w:rPr>
                <w:rFonts w:ascii="Times New Roman" w:hAnsi="Times New Roman" w:eastAsia="仿宋_GB2312" w:cs="方正仿宋_GBK"/>
                <w:color w:val="auto"/>
                <w:szCs w:val="21"/>
              </w:rPr>
            </w:pPr>
          </w:p>
        </w:tc>
        <w:tc>
          <w:tcPr>
            <w:tcW w:w="1324" w:type="dxa"/>
            <w:vMerge w:val="continue"/>
            <w:vAlign w:val="center"/>
          </w:tcPr>
          <w:p w14:paraId="7A84B4E3">
            <w:pPr>
              <w:widowControl/>
              <w:autoSpaceDE w:val="0"/>
              <w:autoSpaceDN w:val="0"/>
              <w:spacing w:line="280" w:lineRule="exact"/>
              <w:jc w:val="left"/>
              <w:rPr>
                <w:rFonts w:ascii="Times New Roman" w:hAnsi="Times New Roman" w:eastAsia="仿宋_GB2312" w:cs="方正仿宋_GBK"/>
                <w:color w:val="auto"/>
                <w:szCs w:val="21"/>
              </w:rPr>
            </w:pPr>
          </w:p>
        </w:tc>
        <w:tc>
          <w:tcPr>
            <w:tcW w:w="794" w:type="dxa"/>
            <w:vMerge w:val="continue"/>
            <w:vAlign w:val="center"/>
          </w:tcPr>
          <w:p w14:paraId="4A928DDD">
            <w:pPr>
              <w:widowControl/>
              <w:autoSpaceDE w:val="0"/>
              <w:autoSpaceDN w:val="0"/>
              <w:spacing w:line="280" w:lineRule="exact"/>
              <w:jc w:val="left"/>
              <w:rPr>
                <w:rFonts w:ascii="Times New Roman" w:hAnsi="Times New Roman" w:eastAsia="仿宋_GB2312" w:cs="方正仿宋_GBK"/>
                <w:color w:val="auto"/>
                <w:szCs w:val="21"/>
              </w:rPr>
            </w:pPr>
          </w:p>
        </w:tc>
        <w:tc>
          <w:tcPr>
            <w:tcW w:w="872" w:type="dxa"/>
            <w:vMerge w:val="continue"/>
            <w:vAlign w:val="center"/>
          </w:tcPr>
          <w:p w14:paraId="39A10071">
            <w:pPr>
              <w:widowControl/>
              <w:autoSpaceDE w:val="0"/>
              <w:autoSpaceDN w:val="0"/>
              <w:spacing w:line="280" w:lineRule="exact"/>
              <w:jc w:val="left"/>
              <w:rPr>
                <w:rFonts w:ascii="Times New Roman" w:hAnsi="Times New Roman" w:eastAsia="仿宋_GB2312" w:cs="方正仿宋_GBK"/>
                <w:color w:val="auto"/>
                <w:szCs w:val="21"/>
              </w:rPr>
            </w:pPr>
          </w:p>
        </w:tc>
        <w:tc>
          <w:tcPr>
            <w:tcW w:w="869" w:type="dxa"/>
            <w:vAlign w:val="center"/>
          </w:tcPr>
          <w:p w14:paraId="2A4FF3E1">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施工单位的主要负责人、项目负责人</w:t>
            </w:r>
          </w:p>
        </w:tc>
        <w:tc>
          <w:tcPr>
            <w:tcW w:w="4962" w:type="dxa"/>
            <w:vAlign w:val="center"/>
          </w:tcPr>
          <w:p w14:paraId="7AF0ED8B">
            <w:pPr>
              <w:widowControl/>
              <w:autoSpaceDE w:val="0"/>
              <w:autoSpaceDN w:val="0"/>
              <w:spacing w:line="26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【法律】《中华人民共和国安全生产法》</w:t>
            </w:r>
          </w:p>
          <w:p w14:paraId="7D3A95D9">
            <w:pPr>
              <w:widowControl/>
              <w:autoSpaceDE w:val="0"/>
              <w:autoSpaceDN w:val="0"/>
              <w:spacing w:line="26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第九十四条　生产经营单位的主要负责人未履行本法规定的安全生产管理职责的，责令限期改正，处二万元以上五万元以下的罚款；逾期未改正的，处五万元以上十万元以下的罚款，责令生产经营单位停产停业整顿。</w:t>
            </w:r>
          </w:p>
          <w:p w14:paraId="42BC770C">
            <w:pPr>
              <w:widowControl/>
              <w:autoSpaceDE w:val="0"/>
              <w:autoSpaceDN w:val="0"/>
              <w:spacing w:line="260" w:lineRule="exact"/>
              <w:ind w:firstLine="42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生产经营单位的主要负责人有前款违法行为，导致发生生产安全事故的，给予撤职处分；构成犯罪的，依照刑法有关规定追究刑事责任。</w:t>
            </w:r>
          </w:p>
          <w:p w14:paraId="74871E93">
            <w:pPr>
              <w:widowControl/>
              <w:autoSpaceDE w:val="0"/>
              <w:autoSpaceDN w:val="0"/>
              <w:spacing w:line="260" w:lineRule="exact"/>
              <w:ind w:firstLine="42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生产经营单位的主要负责人依照前款规定受刑事处罚或者撤职处分的，自刑罚执行完毕或者受处分之日起，五年内不得担任任何生产经营单位的主要负责人；对重大、特别重大生产安全事故负有责任的，终身不得担任本行业生产经营单位的主要负责人。</w:t>
            </w:r>
          </w:p>
          <w:p w14:paraId="691BEDD9">
            <w:pPr>
              <w:widowControl/>
              <w:autoSpaceDE w:val="0"/>
              <w:autoSpaceDN w:val="0"/>
              <w:spacing w:line="260" w:lineRule="exact"/>
              <w:ind w:firstLine="42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第九十六条　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w:t>
            </w:r>
          </w:p>
        </w:tc>
        <w:tc>
          <w:tcPr>
            <w:tcW w:w="992" w:type="dxa"/>
            <w:vAlign w:val="center"/>
          </w:tcPr>
          <w:p w14:paraId="2264CCC7">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现场检查、书面检查</w:t>
            </w:r>
          </w:p>
        </w:tc>
        <w:tc>
          <w:tcPr>
            <w:tcW w:w="1139" w:type="dxa"/>
            <w:vAlign w:val="center"/>
          </w:tcPr>
          <w:p w14:paraId="2BE13469">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双随机+重点检查</w:t>
            </w:r>
          </w:p>
        </w:tc>
        <w:tc>
          <w:tcPr>
            <w:tcW w:w="1491" w:type="dxa"/>
            <w:vAlign w:val="center"/>
          </w:tcPr>
          <w:p w14:paraId="31BF2650">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320217053000</w:t>
            </w:r>
          </w:p>
        </w:tc>
        <w:tc>
          <w:tcPr>
            <w:tcW w:w="1481" w:type="dxa"/>
            <w:vAlign w:val="center"/>
          </w:tcPr>
          <w:p w14:paraId="329FEC69">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对施工单位的主要负责人、项目负责人未履行安全生产管理职责的处罚</w:t>
            </w:r>
          </w:p>
        </w:tc>
        <w:tc>
          <w:tcPr>
            <w:tcW w:w="622" w:type="dxa"/>
            <w:vAlign w:val="center"/>
          </w:tcPr>
          <w:p w14:paraId="2C3AC905">
            <w:pPr>
              <w:widowControl/>
              <w:autoSpaceDE w:val="0"/>
              <w:autoSpaceDN w:val="0"/>
              <w:spacing w:line="280" w:lineRule="exact"/>
              <w:jc w:val="left"/>
              <w:rPr>
                <w:rFonts w:ascii="Times New Roman" w:hAnsi="Times New Roman" w:eastAsia="仿宋_GB2312" w:cs="方正仿宋_GBK"/>
                <w:color w:val="auto"/>
                <w:szCs w:val="21"/>
              </w:rPr>
            </w:pPr>
          </w:p>
        </w:tc>
      </w:tr>
      <w:tr w14:paraId="186C7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47" w:hRule="atLeast"/>
          <w:jc w:val="center"/>
        </w:trPr>
        <w:tc>
          <w:tcPr>
            <w:tcW w:w="536" w:type="dxa"/>
            <w:vAlign w:val="center"/>
          </w:tcPr>
          <w:p w14:paraId="3924C17C">
            <w:pPr>
              <w:autoSpaceDE w:val="0"/>
              <w:autoSpaceDN w:val="0"/>
              <w:spacing w:line="280" w:lineRule="exact"/>
              <w:jc w:val="center"/>
              <w:rPr>
                <w:rFonts w:hint="default" w:ascii="Times New Roman" w:hAnsi="Times New Roman" w:eastAsia="仿宋_GB2312" w:cs="方正仿宋_GBK"/>
                <w:color w:val="auto"/>
                <w:szCs w:val="21"/>
                <w:lang w:val="en-US" w:eastAsia="zh-CN"/>
              </w:rPr>
            </w:pPr>
            <w:r>
              <w:rPr>
                <w:rFonts w:hint="eastAsia" w:ascii="Times New Roman" w:hAnsi="Times New Roman" w:eastAsia="仿宋_GB2312" w:cs="方正仿宋_GBK"/>
                <w:color w:val="auto"/>
                <w:szCs w:val="21"/>
                <w:lang w:val="en-US" w:eastAsia="zh-CN"/>
              </w:rPr>
              <w:t>15</w:t>
            </w:r>
          </w:p>
        </w:tc>
        <w:tc>
          <w:tcPr>
            <w:tcW w:w="1324" w:type="dxa"/>
            <w:vAlign w:val="center"/>
          </w:tcPr>
          <w:p w14:paraId="761ED628">
            <w:pPr>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对房屋市政工程质量、安全及文明施工情况的行政检查</w:t>
            </w:r>
          </w:p>
        </w:tc>
        <w:tc>
          <w:tcPr>
            <w:tcW w:w="794" w:type="dxa"/>
            <w:vAlign w:val="center"/>
          </w:tcPr>
          <w:p w14:paraId="47BE5AE6">
            <w:pPr>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苏州市相城区住房和城乡建设局</w:t>
            </w:r>
          </w:p>
        </w:tc>
        <w:tc>
          <w:tcPr>
            <w:tcW w:w="872" w:type="dxa"/>
            <w:vAlign w:val="center"/>
          </w:tcPr>
          <w:p w14:paraId="0F993E8C">
            <w:pPr>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相城区建设工程质量安全监督中心</w:t>
            </w:r>
          </w:p>
        </w:tc>
        <w:tc>
          <w:tcPr>
            <w:tcW w:w="869" w:type="dxa"/>
            <w:vAlign w:val="center"/>
          </w:tcPr>
          <w:p w14:paraId="083AF20E">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施工单位的主要负责人、项目负责人</w:t>
            </w:r>
          </w:p>
        </w:tc>
        <w:tc>
          <w:tcPr>
            <w:tcW w:w="4962" w:type="dxa"/>
            <w:vAlign w:val="center"/>
          </w:tcPr>
          <w:p w14:paraId="4AEDEB83">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第一百一十二条  生产经营单位违反本法规定，被责令改正且受到罚款处罚，拒不改正的，负有安全生产监督管理职责的部门可以自作出责令改正之日的次日起，按照原处罚数额按日连续处罚。</w:t>
            </w:r>
          </w:p>
          <w:p w14:paraId="42243265">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【行政法规】《建设工程安全生产管理条例》（国务院令第393）</w:t>
            </w:r>
          </w:p>
          <w:p w14:paraId="66D174A0">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第二十一条　施工单位主要负责人依法对本单位的安全生产工作全面负责。施工单位应当建立健全安全生产责任制度和安全生产教育培训制度，制定安全生产规章制度和操作规程，保证本单位安全生产条件所需资金的投入，对所承担的建设工程进行定期和专项安全检查，并做好安全检查记录。</w:t>
            </w:r>
          </w:p>
          <w:p w14:paraId="3EA89994">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施工单位的项目负责人应当由取得相应执业资格的人员担任，对建设工程项目的安全施工负责，落实安全生产责任制度、安全生产规章制度和操作规程，确保安全生产费用的有效使用，并根据工程的特点组织制定安全施工措施，消除安全事故隐患，及时、如实报告生产安全事故。</w:t>
            </w:r>
          </w:p>
          <w:p w14:paraId="6B2130C7">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第六十六条第一款  违反本条例的规定，施工单位的主要负责人、项目负责人未履行安全生产管理职责的，责令限期改正；逾期未改正的，责令施工单位停业整顿；造成重大安全事故、重大伤亡事故或者其他严重后果，构成犯罪的，依照刑法有关规定追究刑事责任。</w:t>
            </w:r>
          </w:p>
          <w:p w14:paraId="0A6757B5">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第三款  施工单位的主要负责人、项目负责人有前款违法行为，尚不够刑事处罚的，处2万元以上20万元以下的罚款或者按照管理权限给予撤职处分；自刑罚执行完毕或者受处分之日起，5年内不得担任任何施工单位的主要负责人、项目负责人。</w:t>
            </w:r>
          </w:p>
        </w:tc>
        <w:tc>
          <w:tcPr>
            <w:tcW w:w="992" w:type="dxa"/>
            <w:vAlign w:val="center"/>
          </w:tcPr>
          <w:p w14:paraId="3CBE45F3">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现场检查、书面检查</w:t>
            </w:r>
          </w:p>
        </w:tc>
        <w:tc>
          <w:tcPr>
            <w:tcW w:w="1139" w:type="dxa"/>
            <w:vAlign w:val="center"/>
          </w:tcPr>
          <w:p w14:paraId="157285B4">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双随机+重点检查</w:t>
            </w:r>
          </w:p>
        </w:tc>
        <w:tc>
          <w:tcPr>
            <w:tcW w:w="1491" w:type="dxa"/>
            <w:vAlign w:val="center"/>
          </w:tcPr>
          <w:p w14:paraId="3209D81C">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320217053000</w:t>
            </w:r>
          </w:p>
        </w:tc>
        <w:tc>
          <w:tcPr>
            <w:tcW w:w="1481" w:type="dxa"/>
            <w:vAlign w:val="center"/>
          </w:tcPr>
          <w:p w14:paraId="5A1AEEF5">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对施工单位的主要负责人、项目负责人未履行安全生产管理职责的处罚</w:t>
            </w:r>
          </w:p>
        </w:tc>
        <w:tc>
          <w:tcPr>
            <w:tcW w:w="622" w:type="dxa"/>
            <w:vAlign w:val="center"/>
          </w:tcPr>
          <w:p w14:paraId="22BC0FA1">
            <w:pPr>
              <w:widowControl/>
              <w:autoSpaceDE w:val="0"/>
              <w:autoSpaceDN w:val="0"/>
              <w:spacing w:line="280" w:lineRule="exact"/>
              <w:jc w:val="left"/>
              <w:rPr>
                <w:rFonts w:ascii="Times New Roman" w:hAnsi="Times New Roman" w:eastAsia="仿宋_GB2312" w:cs="方正仿宋_GBK"/>
                <w:color w:val="auto"/>
                <w:szCs w:val="21"/>
              </w:rPr>
            </w:pPr>
          </w:p>
        </w:tc>
      </w:tr>
      <w:tr w14:paraId="36CF5D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2" w:hRule="atLeast"/>
          <w:jc w:val="center"/>
        </w:trPr>
        <w:tc>
          <w:tcPr>
            <w:tcW w:w="536" w:type="dxa"/>
            <w:vAlign w:val="center"/>
          </w:tcPr>
          <w:p w14:paraId="2CDA700D">
            <w:pPr>
              <w:autoSpaceDE w:val="0"/>
              <w:autoSpaceDN w:val="0"/>
              <w:spacing w:line="280" w:lineRule="exact"/>
              <w:jc w:val="center"/>
              <w:rPr>
                <w:rFonts w:hint="default" w:ascii="Times New Roman" w:hAnsi="Times New Roman" w:eastAsia="仿宋_GB2312" w:cs="方正仿宋_GBK"/>
                <w:color w:val="auto"/>
                <w:szCs w:val="21"/>
                <w:lang w:val="en-US" w:eastAsia="zh-CN"/>
              </w:rPr>
            </w:pPr>
            <w:r>
              <w:rPr>
                <w:rFonts w:hint="eastAsia" w:ascii="Times New Roman" w:hAnsi="Times New Roman" w:eastAsia="仿宋_GB2312" w:cs="方正仿宋_GBK"/>
                <w:color w:val="auto"/>
                <w:szCs w:val="21"/>
                <w:lang w:val="en-US" w:eastAsia="zh-CN"/>
              </w:rPr>
              <w:t>15</w:t>
            </w:r>
          </w:p>
        </w:tc>
        <w:tc>
          <w:tcPr>
            <w:tcW w:w="1324" w:type="dxa"/>
            <w:vAlign w:val="center"/>
          </w:tcPr>
          <w:p w14:paraId="4C2C777F">
            <w:pPr>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对房屋市政工程质量、安全及文明施工情况的行政检查</w:t>
            </w:r>
          </w:p>
        </w:tc>
        <w:tc>
          <w:tcPr>
            <w:tcW w:w="794" w:type="dxa"/>
            <w:vAlign w:val="center"/>
          </w:tcPr>
          <w:p w14:paraId="49F20C10">
            <w:pPr>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苏州市相城区住房和城乡建设局</w:t>
            </w:r>
          </w:p>
        </w:tc>
        <w:tc>
          <w:tcPr>
            <w:tcW w:w="872" w:type="dxa"/>
            <w:vAlign w:val="center"/>
          </w:tcPr>
          <w:p w14:paraId="1E189829">
            <w:pPr>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相城区建设工程质量安全监督中心</w:t>
            </w:r>
          </w:p>
        </w:tc>
        <w:tc>
          <w:tcPr>
            <w:tcW w:w="869" w:type="dxa"/>
            <w:vAlign w:val="center"/>
          </w:tcPr>
          <w:p w14:paraId="3064E2B1">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施工单位的主要负责人、项目负责人</w:t>
            </w:r>
          </w:p>
        </w:tc>
        <w:tc>
          <w:tcPr>
            <w:tcW w:w="4962" w:type="dxa"/>
            <w:vAlign w:val="center"/>
          </w:tcPr>
          <w:p w14:paraId="2CF77AB0">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第六十八条　本条例规定的行政处罚，由建设行政主管部门或者其他有关部门依照法定职权决定。违反消防安全管理规定的行为，由公安消防机构依法处罚。</w:t>
            </w:r>
          </w:p>
          <w:p w14:paraId="3064510D">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有关法律、行政法规对建设工程安全生产违法行为的行政处罚决定机关另有规定的，从其规定。</w:t>
            </w:r>
          </w:p>
        </w:tc>
        <w:tc>
          <w:tcPr>
            <w:tcW w:w="992" w:type="dxa"/>
            <w:vAlign w:val="center"/>
          </w:tcPr>
          <w:p w14:paraId="6E6EC61A">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现场检查、书面检查</w:t>
            </w:r>
          </w:p>
        </w:tc>
        <w:tc>
          <w:tcPr>
            <w:tcW w:w="1139" w:type="dxa"/>
            <w:vAlign w:val="center"/>
          </w:tcPr>
          <w:p w14:paraId="6330482D">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双随机+重点检查</w:t>
            </w:r>
          </w:p>
        </w:tc>
        <w:tc>
          <w:tcPr>
            <w:tcW w:w="1491" w:type="dxa"/>
            <w:vAlign w:val="center"/>
          </w:tcPr>
          <w:p w14:paraId="77B02889">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320217053000</w:t>
            </w:r>
          </w:p>
        </w:tc>
        <w:tc>
          <w:tcPr>
            <w:tcW w:w="1481" w:type="dxa"/>
            <w:vAlign w:val="center"/>
          </w:tcPr>
          <w:p w14:paraId="4F17F108">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对施工单位的主要负责人、项目负责人未履行安全生产管理职责的处罚</w:t>
            </w:r>
          </w:p>
        </w:tc>
        <w:tc>
          <w:tcPr>
            <w:tcW w:w="622" w:type="dxa"/>
            <w:vAlign w:val="center"/>
          </w:tcPr>
          <w:p w14:paraId="3911EF58">
            <w:pPr>
              <w:widowControl/>
              <w:autoSpaceDE w:val="0"/>
              <w:autoSpaceDN w:val="0"/>
              <w:spacing w:line="280" w:lineRule="exact"/>
              <w:jc w:val="left"/>
              <w:rPr>
                <w:rFonts w:ascii="Times New Roman" w:hAnsi="Times New Roman" w:eastAsia="仿宋_GB2312" w:cs="方正仿宋_GBK"/>
                <w:color w:val="auto"/>
                <w:szCs w:val="21"/>
              </w:rPr>
            </w:pPr>
          </w:p>
        </w:tc>
      </w:tr>
      <w:tr w14:paraId="42D14D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6" w:hRule="atLeast"/>
          <w:jc w:val="center"/>
        </w:trPr>
        <w:tc>
          <w:tcPr>
            <w:tcW w:w="536" w:type="dxa"/>
            <w:vAlign w:val="center"/>
          </w:tcPr>
          <w:p w14:paraId="3CB77662">
            <w:pPr>
              <w:autoSpaceDE w:val="0"/>
              <w:autoSpaceDN w:val="0"/>
              <w:spacing w:line="280" w:lineRule="exact"/>
              <w:jc w:val="center"/>
              <w:rPr>
                <w:rFonts w:hint="default" w:ascii="Times New Roman" w:hAnsi="Times New Roman" w:eastAsia="仿宋_GB2312" w:cs="方正仿宋_GBK"/>
                <w:color w:val="auto"/>
                <w:szCs w:val="21"/>
                <w:lang w:val="en-US" w:eastAsia="zh-CN"/>
              </w:rPr>
            </w:pPr>
            <w:r>
              <w:rPr>
                <w:rFonts w:hint="eastAsia" w:ascii="Times New Roman" w:hAnsi="Times New Roman" w:eastAsia="仿宋_GB2312" w:cs="方正仿宋_GBK"/>
                <w:color w:val="auto"/>
                <w:szCs w:val="21"/>
                <w:lang w:val="en-US" w:eastAsia="zh-CN"/>
              </w:rPr>
              <w:t>15</w:t>
            </w:r>
          </w:p>
        </w:tc>
        <w:tc>
          <w:tcPr>
            <w:tcW w:w="1324" w:type="dxa"/>
            <w:vAlign w:val="center"/>
          </w:tcPr>
          <w:p w14:paraId="563E8566">
            <w:pPr>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对房屋市政工程质量、安全及文明施工情况的行政检查</w:t>
            </w:r>
          </w:p>
        </w:tc>
        <w:tc>
          <w:tcPr>
            <w:tcW w:w="794" w:type="dxa"/>
            <w:vAlign w:val="center"/>
          </w:tcPr>
          <w:p w14:paraId="79ADD973">
            <w:pPr>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苏州市相城区住房和城乡建设局</w:t>
            </w:r>
          </w:p>
        </w:tc>
        <w:tc>
          <w:tcPr>
            <w:tcW w:w="872" w:type="dxa"/>
            <w:vAlign w:val="center"/>
          </w:tcPr>
          <w:p w14:paraId="23D16996">
            <w:pPr>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相城区建设工程质量安全监督中心</w:t>
            </w:r>
          </w:p>
        </w:tc>
        <w:tc>
          <w:tcPr>
            <w:tcW w:w="869" w:type="dxa"/>
            <w:vAlign w:val="center"/>
          </w:tcPr>
          <w:p w14:paraId="4741D5F0">
            <w:pPr>
              <w:widowControl/>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监理</w:t>
            </w:r>
          </w:p>
          <w:p w14:paraId="41C86A81">
            <w:pPr>
              <w:widowControl/>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单位</w:t>
            </w:r>
          </w:p>
        </w:tc>
        <w:tc>
          <w:tcPr>
            <w:tcW w:w="4962" w:type="dxa"/>
            <w:vAlign w:val="center"/>
          </w:tcPr>
          <w:p w14:paraId="1B120CDE">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【行政法规】《建设工程质量管理条例》</w:t>
            </w:r>
          </w:p>
          <w:p w14:paraId="5B0172DD">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第三十七条第二款  未经监理工程师签字，建筑材料、建筑构配件和设备不得在工程上使用或者安装，施工单位不得进行下一道工序的施工。未经总监理工程师签字，建设单位不拨付工程款，不进行竣工验收。</w:t>
            </w:r>
          </w:p>
          <w:p w14:paraId="7FF3742D">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第六十七条　工程监理单位有下列行为之一的，责令改正，处50万元以上100万元以下的罚款，降低资质等级或者吊销资质证书；有违法所得的，予以没收；造成损失的，承担连带赔偿责任：</w:t>
            </w:r>
          </w:p>
          <w:p w14:paraId="3A5E8D7C">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（二）将不合格的建设工程、建筑材料、建筑构配件和设备按照合格签字的。</w:t>
            </w:r>
          </w:p>
          <w:p w14:paraId="581DE9E7">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第七十三条  依照本条例规定，给予单位罚款处罚的，对单位直接负责的主管人员和其他直接责任人员处单位罚款数额5％以上10％以下的罚款。</w:t>
            </w:r>
          </w:p>
          <w:p w14:paraId="14CD35F0">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第七十五条第一款  本条例规定的责令停业整顿、降低资质等级和吊销资质证书的行政处罚，由颁发资质证书的机关决定；其他行政处罚，由建设行政主管部门或者其他有关部门依照法定职权决定。</w:t>
            </w:r>
          </w:p>
        </w:tc>
        <w:tc>
          <w:tcPr>
            <w:tcW w:w="992" w:type="dxa"/>
            <w:vAlign w:val="center"/>
          </w:tcPr>
          <w:p w14:paraId="5A2E4A98">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现场检查、书面检查</w:t>
            </w:r>
          </w:p>
        </w:tc>
        <w:tc>
          <w:tcPr>
            <w:tcW w:w="1139" w:type="dxa"/>
            <w:vAlign w:val="center"/>
          </w:tcPr>
          <w:p w14:paraId="566C0967">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双随机+重点检查</w:t>
            </w:r>
          </w:p>
        </w:tc>
        <w:tc>
          <w:tcPr>
            <w:tcW w:w="1491" w:type="dxa"/>
            <w:vAlign w:val="center"/>
          </w:tcPr>
          <w:p w14:paraId="7DD5CCE0">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320217037000</w:t>
            </w:r>
          </w:p>
        </w:tc>
        <w:tc>
          <w:tcPr>
            <w:tcW w:w="1481" w:type="dxa"/>
            <w:vAlign w:val="center"/>
          </w:tcPr>
          <w:p w14:paraId="2C1889C7">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对工程监理单位将不合格的建设工程、建筑材料、建筑构配件和设备按照合格签字的处罚</w:t>
            </w:r>
          </w:p>
        </w:tc>
        <w:tc>
          <w:tcPr>
            <w:tcW w:w="622" w:type="dxa"/>
            <w:vAlign w:val="center"/>
          </w:tcPr>
          <w:p w14:paraId="7B88355A">
            <w:pPr>
              <w:widowControl/>
              <w:autoSpaceDE w:val="0"/>
              <w:autoSpaceDN w:val="0"/>
              <w:spacing w:line="280" w:lineRule="exact"/>
              <w:jc w:val="left"/>
              <w:rPr>
                <w:rFonts w:ascii="Times New Roman" w:hAnsi="Times New Roman" w:eastAsia="仿宋_GB2312" w:cs="方正仿宋_GBK"/>
                <w:color w:val="auto"/>
                <w:szCs w:val="21"/>
              </w:rPr>
            </w:pPr>
          </w:p>
        </w:tc>
      </w:tr>
      <w:tr w14:paraId="39BC6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05" w:hRule="atLeast"/>
          <w:jc w:val="center"/>
        </w:trPr>
        <w:tc>
          <w:tcPr>
            <w:tcW w:w="536" w:type="dxa"/>
            <w:vAlign w:val="center"/>
          </w:tcPr>
          <w:p w14:paraId="67E76FBA">
            <w:pPr>
              <w:autoSpaceDE w:val="0"/>
              <w:autoSpaceDN w:val="0"/>
              <w:spacing w:line="280" w:lineRule="exact"/>
              <w:jc w:val="center"/>
              <w:rPr>
                <w:rFonts w:hint="default" w:ascii="Times New Roman" w:hAnsi="Times New Roman" w:eastAsia="仿宋_GB2312" w:cs="方正仿宋_GBK"/>
                <w:color w:val="auto"/>
                <w:szCs w:val="21"/>
                <w:lang w:val="en-US" w:eastAsia="zh-CN"/>
              </w:rPr>
            </w:pPr>
            <w:r>
              <w:rPr>
                <w:rFonts w:hint="eastAsia" w:ascii="Times New Roman" w:hAnsi="Times New Roman" w:eastAsia="仿宋_GB2312" w:cs="方正仿宋_GBK"/>
                <w:color w:val="auto"/>
                <w:szCs w:val="21"/>
                <w:lang w:val="en-US" w:eastAsia="zh-CN"/>
              </w:rPr>
              <w:t>15</w:t>
            </w:r>
          </w:p>
        </w:tc>
        <w:tc>
          <w:tcPr>
            <w:tcW w:w="1324" w:type="dxa"/>
            <w:vAlign w:val="center"/>
          </w:tcPr>
          <w:p w14:paraId="59A45E32">
            <w:pPr>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对房屋市政工程质量、安全及文明施工情况的行政检查</w:t>
            </w:r>
          </w:p>
        </w:tc>
        <w:tc>
          <w:tcPr>
            <w:tcW w:w="794" w:type="dxa"/>
            <w:vAlign w:val="center"/>
          </w:tcPr>
          <w:p w14:paraId="760C5C3B">
            <w:pPr>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苏州市相城区住房和城乡建设局</w:t>
            </w:r>
          </w:p>
        </w:tc>
        <w:tc>
          <w:tcPr>
            <w:tcW w:w="872" w:type="dxa"/>
            <w:vAlign w:val="center"/>
          </w:tcPr>
          <w:p w14:paraId="006A385C">
            <w:pPr>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相城区建设工程质量安全监督中心</w:t>
            </w:r>
          </w:p>
        </w:tc>
        <w:tc>
          <w:tcPr>
            <w:tcW w:w="869" w:type="dxa"/>
            <w:vAlign w:val="center"/>
          </w:tcPr>
          <w:p w14:paraId="4358AA38">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生产经营单位</w:t>
            </w:r>
          </w:p>
        </w:tc>
        <w:tc>
          <w:tcPr>
            <w:tcW w:w="4962" w:type="dxa"/>
            <w:vAlign w:val="center"/>
          </w:tcPr>
          <w:p w14:paraId="6B563CAA">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【法律】《中华人民共和国安全生产法》</w:t>
            </w:r>
          </w:p>
          <w:p w14:paraId="5BAD3064">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第九十七条　生产经营单位有下列行为之一的，责令限期改正，处十万元以下的罚款；逾期未改正的，责令停产停业整顿，并处十万元以上二十万元以下的罚款，对其直接负责的主管人员和其他直接责任人员处二万元以上五万元以下的罚款：</w:t>
            </w:r>
          </w:p>
          <w:p w14:paraId="52DD3D6F">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（二）危险物品的生产、经营、储存、装卸单位以及矿山、金属冶炼、建筑施工、运输单位的主要负责人和安全生产管理人员未按照规定经考核合格的；</w:t>
            </w:r>
          </w:p>
          <w:p w14:paraId="03837F91">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　（三）未按照规定对从业人员、被派遣劳动者、实习学生进行安全生产教育和培训，或者未按照规定如实告知有关的安全生产事项的；</w:t>
            </w:r>
          </w:p>
          <w:p w14:paraId="0195433D">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（七）特种作业人员未按照规定经专门的安全作业培训并取得相应资格，上岗作业的。</w:t>
            </w:r>
          </w:p>
          <w:p w14:paraId="45094CFE">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第一百一十二条  生产经营单位违反本法规定，被责令改正且受到罚款处罚，拒不改正的，负有安全生产监督管理职责的部门可以自作出责令改正之日的次日起，按照原处罚数额按日连续处罚。</w:t>
            </w:r>
          </w:p>
          <w:p w14:paraId="6E6D878A">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【行政法规】《建设工程安全生产管理条例》</w:t>
            </w:r>
          </w:p>
          <w:p w14:paraId="09442EFE">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第二十五条　垂直运输机械作业人员、安装拆卸工、爆破作业人员、起重信号工、登高架设作业人员等特种作业人员，必须按照国家有关规定经过专门的安全作业培训，并取得特种作业操作资格证书后，方可上岗作业。</w:t>
            </w:r>
          </w:p>
          <w:p w14:paraId="2B0C0F55">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第三十六条　施工单位的主要负责人、项目负责人、专职安全生产管理人员应当经建设行政主管部门或者其他有关部门考核合格后方可任职。</w:t>
            </w:r>
          </w:p>
          <w:p w14:paraId="47DD0ADB">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施工单位应当对管理人员和作业人员每年至少进行一次安全生产教育培训，其教育培训情况记入个</w:t>
            </w:r>
          </w:p>
        </w:tc>
        <w:tc>
          <w:tcPr>
            <w:tcW w:w="992" w:type="dxa"/>
            <w:vAlign w:val="center"/>
          </w:tcPr>
          <w:p w14:paraId="2FC071DF">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现场检查、书面检查</w:t>
            </w:r>
          </w:p>
        </w:tc>
        <w:tc>
          <w:tcPr>
            <w:tcW w:w="1139" w:type="dxa"/>
            <w:vAlign w:val="center"/>
          </w:tcPr>
          <w:p w14:paraId="4AC8C981">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双随机+重点检查</w:t>
            </w:r>
          </w:p>
        </w:tc>
        <w:tc>
          <w:tcPr>
            <w:tcW w:w="1491" w:type="dxa"/>
            <w:vAlign w:val="center"/>
          </w:tcPr>
          <w:p w14:paraId="007C7E96">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320217027000</w:t>
            </w:r>
          </w:p>
        </w:tc>
        <w:tc>
          <w:tcPr>
            <w:tcW w:w="1481" w:type="dxa"/>
            <w:vAlign w:val="center"/>
          </w:tcPr>
          <w:p w14:paraId="37BB7898">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对施工单位的主要负责人、项目负责人、专职安全生产管理人员、作业人员或者特种作业人员未经安全教育培训或者经考核不合格即从事相关工作的处罚</w:t>
            </w:r>
          </w:p>
        </w:tc>
        <w:tc>
          <w:tcPr>
            <w:tcW w:w="622" w:type="dxa"/>
            <w:vAlign w:val="center"/>
          </w:tcPr>
          <w:p w14:paraId="58FEB856">
            <w:pPr>
              <w:widowControl/>
              <w:autoSpaceDE w:val="0"/>
              <w:autoSpaceDN w:val="0"/>
              <w:spacing w:line="280" w:lineRule="exact"/>
              <w:jc w:val="left"/>
              <w:rPr>
                <w:rFonts w:ascii="Times New Roman" w:hAnsi="Times New Roman" w:eastAsia="仿宋_GB2312" w:cs="方正仿宋_GBK"/>
                <w:color w:val="auto"/>
                <w:szCs w:val="21"/>
              </w:rPr>
            </w:pPr>
          </w:p>
        </w:tc>
      </w:tr>
      <w:tr w14:paraId="4B0779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6" w:type="dxa"/>
            <w:vMerge w:val="restart"/>
            <w:vAlign w:val="center"/>
          </w:tcPr>
          <w:p w14:paraId="34260F7C">
            <w:pPr>
              <w:autoSpaceDE w:val="0"/>
              <w:autoSpaceDN w:val="0"/>
              <w:spacing w:line="280" w:lineRule="exact"/>
              <w:jc w:val="center"/>
              <w:rPr>
                <w:rFonts w:hint="default" w:ascii="Times New Roman" w:hAnsi="Times New Roman" w:eastAsia="仿宋_GB2312" w:cs="方正仿宋_GBK"/>
                <w:color w:val="auto"/>
                <w:szCs w:val="21"/>
                <w:lang w:val="en-US" w:eastAsia="zh-CN"/>
              </w:rPr>
            </w:pPr>
            <w:r>
              <w:rPr>
                <w:rFonts w:hint="eastAsia" w:ascii="Times New Roman" w:hAnsi="Times New Roman" w:eastAsia="仿宋_GB2312" w:cs="方正仿宋_GBK"/>
                <w:color w:val="auto"/>
                <w:szCs w:val="21"/>
                <w:lang w:val="en-US" w:eastAsia="zh-CN"/>
              </w:rPr>
              <w:t>15</w:t>
            </w:r>
          </w:p>
        </w:tc>
        <w:tc>
          <w:tcPr>
            <w:tcW w:w="1324" w:type="dxa"/>
            <w:vMerge w:val="restart"/>
            <w:vAlign w:val="center"/>
          </w:tcPr>
          <w:p w14:paraId="2FE13785">
            <w:pPr>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对房屋市政工程质量、安全及文明施工情况的行政检查</w:t>
            </w:r>
          </w:p>
        </w:tc>
        <w:tc>
          <w:tcPr>
            <w:tcW w:w="794" w:type="dxa"/>
            <w:vMerge w:val="restart"/>
            <w:vAlign w:val="center"/>
          </w:tcPr>
          <w:p w14:paraId="043994AA">
            <w:pPr>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苏州市相城区住房和城乡建设局</w:t>
            </w:r>
          </w:p>
        </w:tc>
        <w:tc>
          <w:tcPr>
            <w:tcW w:w="872" w:type="dxa"/>
            <w:vMerge w:val="restart"/>
            <w:vAlign w:val="center"/>
          </w:tcPr>
          <w:p w14:paraId="109EE64B">
            <w:pPr>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相城区建设工程质量安全监督中心</w:t>
            </w:r>
          </w:p>
        </w:tc>
        <w:tc>
          <w:tcPr>
            <w:tcW w:w="869" w:type="dxa"/>
            <w:vAlign w:val="center"/>
          </w:tcPr>
          <w:p w14:paraId="785CDC6B">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生产经营单位</w:t>
            </w:r>
          </w:p>
        </w:tc>
        <w:tc>
          <w:tcPr>
            <w:tcW w:w="4962" w:type="dxa"/>
            <w:vAlign w:val="center"/>
          </w:tcPr>
          <w:p w14:paraId="2416BFFA">
            <w:pPr>
              <w:widowControl/>
              <w:autoSpaceDE w:val="0"/>
              <w:autoSpaceDN w:val="0"/>
              <w:spacing w:line="27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人工作档案。安全生产教育培训考核不合格的人员，不得上岗。</w:t>
            </w:r>
          </w:p>
          <w:p w14:paraId="7940CF4B">
            <w:pPr>
              <w:widowControl/>
              <w:autoSpaceDE w:val="0"/>
              <w:autoSpaceDN w:val="0"/>
              <w:spacing w:line="27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第三十七条　作业人员进入新的岗位或者新的施工现场前，应当接受安全生产教育培训。未经教育培训或者教育培训考核不合格的人员，不得上岗作业。</w:t>
            </w:r>
          </w:p>
          <w:p w14:paraId="28856053">
            <w:pPr>
              <w:widowControl/>
              <w:autoSpaceDE w:val="0"/>
              <w:autoSpaceDN w:val="0"/>
              <w:spacing w:line="27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施工单位在采用新技术、新工艺、新设备、新材料时，应当对作业人员进行相应的安全生产教育培训。</w:t>
            </w:r>
          </w:p>
          <w:p w14:paraId="4647B665">
            <w:pPr>
              <w:widowControl/>
              <w:autoSpaceDE w:val="0"/>
              <w:autoSpaceDN w:val="0"/>
              <w:spacing w:line="27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第六十二条  违反本条例的规定，施工单位有下列行为之一的，责令限期改正；逾期未改正的，责令停业整顿，依照《中华人民共和国安全生产法》的有关规定处以罚款；造成重大安全事故，构成犯罪的，对直接责任人员，依照刑法有关规定追究刑事责任：</w:t>
            </w:r>
          </w:p>
          <w:p w14:paraId="12102461">
            <w:pPr>
              <w:widowControl/>
              <w:autoSpaceDE w:val="0"/>
              <w:autoSpaceDN w:val="0"/>
              <w:spacing w:line="27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（二）施工单位的主要负责人、项目负责人、专职安全生产管理人员、作业人员或者特种作业人员，未经安全教育培训或者经考核不合格即从事相关工作的。</w:t>
            </w:r>
          </w:p>
          <w:p w14:paraId="767FB182">
            <w:pPr>
              <w:widowControl/>
              <w:autoSpaceDE w:val="0"/>
              <w:autoSpaceDN w:val="0"/>
              <w:spacing w:line="270" w:lineRule="exact"/>
              <w:ind w:firstLine="420" w:firstLineChars="200"/>
              <w:jc w:val="left"/>
              <w:rPr>
                <w:rFonts w:hint="eastAsia" w:ascii="Times New Roman" w:hAnsi="Times New Roman" w:eastAsia="仿宋_GB2312" w:cs="方正仿宋_GBK"/>
                <w:color w:val="auto"/>
                <w:szCs w:val="21"/>
                <w:lang w:eastAsia="zh-CN"/>
              </w:rPr>
            </w:pPr>
            <w:r>
              <w:rPr>
                <w:rFonts w:hint="eastAsia" w:ascii="Times New Roman" w:hAnsi="Times New Roman" w:eastAsia="仿宋_GB2312" w:cs="方正仿宋_GBK"/>
                <w:color w:val="auto"/>
                <w:szCs w:val="21"/>
              </w:rPr>
              <w:t>第六十八条　本条例规定的行政处罚，由建设行政主管部门或者其他有关部门依照法定职权决定。</w:t>
            </w:r>
          </w:p>
          <w:p w14:paraId="43B813A9">
            <w:pPr>
              <w:widowControl/>
              <w:autoSpaceDE w:val="0"/>
              <w:autoSpaceDN w:val="0"/>
              <w:spacing w:line="27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违反消防安全管理规定的行为，由公安消防机构依法处罚。</w:t>
            </w:r>
          </w:p>
          <w:p w14:paraId="70987049">
            <w:pPr>
              <w:widowControl/>
              <w:autoSpaceDE w:val="0"/>
              <w:autoSpaceDN w:val="0"/>
              <w:spacing w:line="27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有关法律、行政法规对建设工程安全生产违法行为的行政处罚决定机关另有规定的，从其规定。</w:t>
            </w:r>
          </w:p>
        </w:tc>
        <w:tc>
          <w:tcPr>
            <w:tcW w:w="992" w:type="dxa"/>
            <w:vMerge w:val="restart"/>
            <w:vAlign w:val="center"/>
          </w:tcPr>
          <w:p w14:paraId="2C69F5B3">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现场检查、书面检查</w:t>
            </w:r>
          </w:p>
        </w:tc>
        <w:tc>
          <w:tcPr>
            <w:tcW w:w="1139" w:type="dxa"/>
            <w:vMerge w:val="restart"/>
            <w:vAlign w:val="center"/>
          </w:tcPr>
          <w:p w14:paraId="610FDFC7">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双随机+重点检查</w:t>
            </w:r>
          </w:p>
        </w:tc>
        <w:tc>
          <w:tcPr>
            <w:tcW w:w="1491" w:type="dxa"/>
            <w:vAlign w:val="center"/>
          </w:tcPr>
          <w:p w14:paraId="625EFE27">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320217027000</w:t>
            </w:r>
          </w:p>
        </w:tc>
        <w:tc>
          <w:tcPr>
            <w:tcW w:w="1481" w:type="dxa"/>
            <w:vAlign w:val="center"/>
          </w:tcPr>
          <w:p w14:paraId="005B562A">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对施工单位的主要负责人、项目负责人、专职安全生产管理人员、作业人员或者特种作业人员未经安全教育培训或者经考核不合格即从事相关工作的处罚</w:t>
            </w:r>
          </w:p>
        </w:tc>
        <w:tc>
          <w:tcPr>
            <w:tcW w:w="622" w:type="dxa"/>
            <w:vAlign w:val="center"/>
          </w:tcPr>
          <w:p w14:paraId="7E29C51A">
            <w:pPr>
              <w:widowControl/>
              <w:autoSpaceDE w:val="0"/>
              <w:autoSpaceDN w:val="0"/>
              <w:spacing w:line="280" w:lineRule="exact"/>
              <w:jc w:val="left"/>
              <w:rPr>
                <w:rFonts w:ascii="Times New Roman" w:hAnsi="Times New Roman" w:eastAsia="仿宋_GB2312" w:cs="方正仿宋_GBK"/>
                <w:color w:val="auto"/>
                <w:szCs w:val="21"/>
              </w:rPr>
            </w:pPr>
          </w:p>
        </w:tc>
      </w:tr>
      <w:tr w14:paraId="33FEB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6" w:type="dxa"/>
            <w:vMerge w:val="continue"/>
            <w:vAlign w:val="center"/>
          </w:tcPr>
          <w:p w14:paraId="14A5836E">
            <w:pPr>
              <w:widowControl/>
              <w:autoSpaceDE w:val="0"/>
              <w:autoSpaceDN w:val="0"/>
              <w:spacing w:line="280" w:lineRule="exact"/>
              <w:jc w:val="left"/>
              <w:rPr>
                <w:rFonts w:ascii="Times New Roman" w:hAnsi="Times New Roman" w:eastAsia="仿宋_GB2312" w:cs="方正仿宋_GBK"/>
                <w:color w:val="auto"/>
                <w:szCs w:val="21"/>
              </w:rPr>
            </w:pPr>
          </w:p>
        </w:tc>
        <w:tc>
          <w:tcPr>
            <w:tcW w:w="1324" w:type="dxa"/>
            <w:vMerge w:val="continue"/>
            <w:vAlign w:val="center"/>
          </w:tcPr>
          <w:p w14:paraId="3AB54E7C">
            <w:pPr>
              <w:widowControl/>
              <w:autoSpaceDE w:val="0"/>
              <w:autoSpaceDN w:val="0"/>
              <w:spacing w:line="280" w:lineRule="exact"/>
              <w:jc w:val="left"/>
              <w:rPr>
                <w:rFonts w:ascii="Times New Roman" w:hAnsi="Times New Roman" w:eastAsia="仿宋_GB2312" w:cs="方正仿宋_GBK"/>
                <w:color w:val="auto"/>
                <w:szCs w:val="21"/>
              </w:rPr>
            </w:pPr>
          </w:p>
        </w:tc>
        <w:tc>
          <w:tcPr>
            <w:tcW w:w="794" w:type="dxa"/>
            <w:vMerge w:val="continue"/>
            <w:vAlign w:val="center"/>
          </w:tcPr>
          <w:p w14:paraId="0A589115">
            <w:pPr>
              <w:widowControl/>
              <w:autoSpaceDE w:val="0"/>
              <w:autoSpaceDN w:val="0"/>
              <w:spacing w:line="280" w:lineRule="exact"/>
              <w:jc w:val="left"/>
              <w:rPr>
                <w:rFonts w:ascii="Times New Roman" w:hAnsi="Times New Roman" w:eastAsia="仿宋_GB2312" w:cs="方正仿宋_GBK"/>
                <w:color w:val="auto"/>
                <w:szCs w:val="21"/>
              </w:rPr>
            </w:pPr>
          </w:p>
        </w:tc>
        <w:tc>
          <w:tcPr>
            <w:tcW w:w="872" w:type="dxa"/>
            <w:vMerge w:val="continue"/>
            <w:vAlign w:val="center"/>
          </w:tcPr>
          <w:p w14:paraId="42921A04">
            <w:pPr>
              <w:widowControl/>
              <w:autoSpaceDE w:val="0"/>
              <w:autoSpaceDN w:val="0"/>
              <w:spacing w:line="280" w:lineRule="exact"/>
              <w:jc w:val="left"/>
              <w:rPr>
                <w:rFonts w:ascii="Times New Roman" w:hAnsi="Times New Roman" w:eastAsia="仿宋_GB2312" w:cs="方正仿宋_GBK"/>
                <w:color w:val="auto"/>
                <w:szCs w:val="21"/>
              </w:rPr>
            </w:pPr>
          </w:p>
        </w:tc>
        <w:tc>
          <w:tcPr>
            <w:tcW w:w="869" w:type="dxa"/>
            <w:vAlign w:val="center"/>
          </w:tcPr>
          <w:p w14:paraId="28CF6126">
            <w:pPr>
              <w:widowControl/>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建设</w:t>
            </w:r>
          </w:p>
          <w:p w14:paraId="1DF37EE1">
            <w:pPr>
              <w:widowControl/>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单位</w:t>
            </w:r>
          </w:p>
        </w:tc>
        <w:tc>
          <w:tcPr>
            <w:tcW w:w="4962" w:type="dxa"/>
            <w:vAlign w:val="center"/>
          </w:tcPr>
          <w:p w14:paraId="34399202">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【行政法规】《民用建筑节能条例》</w:t>
            </w:r>
          </w:p>
          <w:p w14:paraId="0D90D630">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第十七条  建设单位组织竣工验收，应当对民用建筑是否符合民用建筑节能强制性标准进行查验；对不符合民用建筑节能强制性标准的，不得出具竣工验收合格报告。</w:t>
            </w:r>
          </w:p>
        </w:tc>
        <w:tc>
          <w:tcPr>
            <w:tcW w:w="992" w:type="dxa"/>
            <w:vMerge w:val="continue"/>
            <w:vAlign w:val="center"/>
          </w:tcPr>
          <w:p w14:paraId="08BDAE88">
            <w:pPr>
              <w:widowControl/>
              <w:autoSpaceDE w:val="0"/>
              <w:autoSpaceDN w:val="0"/>
              <w:spacing w:line="280" w:lineRule="exact"/>
              <w:jc w:val="left"/>
              <w:rPr>
                <w:rFonts w:ascii="Times New Roman" w:hAnsi="Times New Roman" w:eastAsia="仿宋_GB2312" w:cs="方正仿宋_GBK"/>
                <w:color w:val="auto"/>
                <w:szCs w:val="21"/>
              </w:rPr>
            </w:pPr>
          </w:p>
        </w:tc>
        <w:tc>
          <w:tcPr>
            <w:tcW w:w="1139" w:type="dxa"/>
            <w:vMerge w:val="continue"/>
            <w:vAlign w:val="center"/>
          </w:tcPr>
          <w:p w14:paraId="7F821357">
            <w:pPr>
              <w:widowControl/>
              <w:autoSpaceDE w:val="0"/>
              <w:autoSpaceDN w:val="0"/>
              <w:spacing w:line="280" w:lineRule="exact"/>
              <w:jc w:val="left"/>
              <w:rPr>
                <w:rFonts w:ascii="Times New Roman" w:hAnsi="Times New Roman" w:eastAsia="仿宋_GB2312" w:cs="方正仿宋_GBK"/>
                <w:color w:val="auto"/>
                <w:szCs w:val="21"/>
              </w:rPr>
            </w:pPr>
          </w:p>
        </w:tc>
        <w:tc>
          <w:tcPr>
            <w:tcW w:w="1491" w:type="dxa"/>
            <w:vAlign w:val="center"/>
          </w:tcPr>
          <w:p w14:paraId="155EB30E">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320217025000</w:t>
            </w:r>
          </w:p>
        </w:tc>
        <w:tc>
          <w:tcPr>
            <w:tcW w:w="1481" w:type="dxa"/>
            <w:vAlign w:val="center"/>
          </w:tcPr>
          <w:p w14:paraId="12F16045">
            <w:pPr>
              <w:widowControl/>
              <w:autoSpaceDE w:val="0"/>
              <w:autoSpaceDN w:val="0"/>
              <w:spacing w:line="26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对建设单位对不符合民用建筑节能强制性标准的民用建筑项目出具竣工验收合格报告的处罚</w:t>
            </w:r>
          </w:p>
        </w:tc>
        <w:tc>
          <w:tcPr>
            <w:tcW w:w="622" w:type="dxa"/>
            <w:vAlign w:val="center"/>
          </w:tcPr>
          <w:p w14:paraId="2A3A2D3D">
            <w:pPr>
              <w:widowControl/>
              <w:autoSpaceDE w:val="0"/>
              <w:autoSpaceDN w:val="0"/>
              <w:spacing w:line="280" w:lineRule="exact"/>
              <w:jc w:val="left"/>
              <w:rPr>
                <w:rFonts w:ascii="Times New Roman" w:hAnsi="Times New Roman" w:eastAsia="仿宋_GB2312" w:cs="方正仿宋_GBK"/>
                <w:color w:val="auto"/>
                <w:szCs w:val="21"/>
              </w:rPr>
            </w:pPr>
          </w:p>
        </w:tc>
      </w:tr>
      <w:tr w14:paraId="489D9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6" w:type="dxa"/>
            <w:vMerge w:val="restart"/>
            <w:vAlign w:val="center"/>
          </w:tcPr>
          <w:p w14:paraId="3577D0AD">
            <w:pPr>
              <w:autoSpaceDE w:val="0"/>
              <w:autoSpaceDN w:val="0"/>
              <w:spacing w:line="280" w:lineRule="exact"/>
              <w:jc w:val="center"/>
              <w:rPr>
                <w:rFonts w:hint="default" w:ascii="Times New Roman" w:hAnsi="Times New Roman" w:eastAsia="仿宋_GB2312" w:cs="方正仿宋_GBK"/>
                <w:color w:val="auto"/>
                <w:szCs w:val="21"/>
                <w:lang w:val="en-US" w:eastAsia="zh-CN"/>
              </w:rPr>
            </w:pPr>
            <w:r>
              <w:rPr>
                <w:rFonts w:hint="eastAsia" w:ascii="Times New Roman" w:hAnsi="Times New Roman" w:eastAsia="仿宋_GB2312" w:cs="方正仿宋_GBK"/>
                <w:color w:val="auto"/>
                <w:szCs w:val="21"/>
                <w:lang w:val="en-US" w:eastAsia="zh-CN"/>
              </w:rPr>
              <w:t>15</w:t>
            </w:r>
          </w:p>
        </w:tc>
        <w:tc>
          <w:tcPr>
            <w:tcW w:w="1324" w:type="dxa"/>
            <w:vMerge w:val="restart"/>
            <w:vAlign w:val="center"/>
          </w:tcPr>
          <w:p w14:paraId="5D652219">
            <w:pPr>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对房屋市政工程质量、安全及文明施工情况的行政检查</w:t>
            </w:r>
          </w:p>
        </w:tc>
        <w:tc>
          <w:tcPr>
            <w:tcW w:w="794" w:type="dxa"/>
            <w:vMerge w:val="restart"/>
            <w:vAlign w:val="center"/>
          </w:tcPr>
          <w:p w14:paraId="6D2CE1A5">
            <w:pPr>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苏州市相城区住房和城乡建设局</w:t>
            </w:r>
          </w:p>
        </w:tc>
        <w:tc>
          <w:tcPr>
            <w:tcW w:w="872" w:type="dxa"/>
            <w:vMerge w:val="restart"/>
            <w:vAlign w:val="center"/>
          </w:tcPr>
          <w:p w14:paraId="004D3ACA">
            <w:pPr>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相城区建设工程质量安全监督中心</w:t>
            </w:r>
          </w:p>
        </w:tc>
        <w:tc>
          <w:tcPr>
            <w:tcW w:w="869" w:type="dxa"/>
            <w:vMerge w:val="restart"/>
            <w:vAlign w:val="center"/>
          </w:tcPr>
          <w:p w14:paraId="3BF22365">
            <w:pPr>
              <w:widowControl/>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建设</w:t>
            </w:r>
          </w:p>
          <w:p w14:paraId="68362110">
            <w:pPr>
              <w:widowControl/>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单位</w:t>
            </w:r>
          </w:p>
        </w:tc>
        <w:tc>
          <w:tcPr>
            <w:tcW w:w="4962" w:type="dxa"/>
            <w:vAlign w:val="center"/>
          </w:tcPr>
          <w:p w14:paraId="7952E9EF">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第三十八条  违反本条例规定，建设单位对不符合民用建筑节能强制性标准的民用建筑项目出具竣工验收合格报告的，由县级以上地方人民政府建设主管部门责令改正，处民用建筑项目合同价款2%以上4%以下的罚款；造成损失的，依法承担赔偿责任。</w:t>
            </w:r>
          </w:p>
        </w:tc>
        <w:tc>
          <w:tcPr>
            <w:tcW w:w="992" w:type="dxa"/>
            <w:vMerge w:val="restart"/>
            <w:vAlign w:val="center"/>
          </w:tcPr>
          <w:p w14:paraId="6CDBD906">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现场检查、书面检查</w:t>
            </w:r>
          </w:p>
        </w:tc>
        <w:tc>
          <w:tcPr>
            <w:tcW w:w="1139" w:type="dxa"/>
            <w:vMerge w:val="restart"/>
            <w:vAlign w:val="center"/>
          </w:tcPr>
          <w:p w14:paraId="1849883A">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双随机+重点检查</w:t>
            </w:r>
          </w:p>
        </w:tc>
        <w:tc>
          <w:tcPr>
            <w:tcW w:w="1491" w:type="dxa"/>
            <w:vAlign w:val="center"/>
          </w:tcPr>
          <w:p w14:paraId="0D2BED34">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320217025000</w:t>
            </w:r>
          </w:p>
        </w:tc>
        <w:tc>
          <w:tcPr>
            <w:tcW w:w="1481" w:type="dxa"/>
            <w:vAlign w:val="center"/>
          </w:tcPr>
          <w:p w14:paraId="4AE654D3">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对建设单位对不符合民用建筑节能强制性标准的民用建筑项目出具竣工验收合格报告的处罚</w:t>
            </w:r>
          </w:p>
        </w:tc>
        <w:tc>
          <w:tcPr>
            <w:tcW w:w="622" w:type="dxa"/>
            <w:vAlign w:val="center"/>
          </w:tcPr>
          <w:p w14:paraId="714E2D6C">
            <w:pPr>
              <w:widowControl/>
              <w:autoSpaceDE w:val="0"/>
              <w:autoSpaceDN w:val="0"/>
              <w:spacing w:line="280" w:lineRule="exact"/>
              <w:jc w:val="left"/>
              <w:rPr>
                <w:rFonts w:ascii="Times New Roman" w:hAnsi="Times New Roman" w:eastAsia="仿宋_GB2312" w:cs="方正仿宋_GBK"/>
                <w:color w:val="auto"/>
                <w:szCs w:val="21"/>
              </w:rPr>
            </w:pPr>
          </w:p>
        </w:tc>
      </w:tr>
      <w:tr w14:paraId="3D321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2" w:hRule="atLeast"/>
          <w:jc w:val="center"/>
        </w:trPr>
        <w:tc>
          <w:tcPr>
            <w:tcW w:w="536" w:type="dxa"/>
            <w:vMerge w:val="continue"/>
            <w:vAlign w:val="center"/>
          </w:tcPr>
          <w:p w14:paraId="77E313A6">
            <w:pPr>
              <w:widowControl/>
              <w:autoSpaceDE w:val="0"/>
              <w:autoSpaceDN w:val="0"/>
              <w:spacing w:line="280" w:lineRule="exact"/>
              <w:jc w:val="left"/>
              <w:rPr>
                <w:rFonts w:ascii="Times New Roman" w:hAnsi="Times New Roman" w:eastAsia="仿宋_GB2312" w:cs="方正仿宋_GBK"/>
                <w:color w:val="auto"/>
                <w:szCs w:val="21"/>
              </w:rPr>
            </w:pPr>
          </w:p>
        </w:tc>
        <w:tc>
          <w:tcPr>
            <w:tcW w:w="1324" w:type="dxa"/>
            <w:vMerge w:val="continue"/>
            <w:vAlign w:val="center"/>
          </w:tcPr>
          <w:p w14:paraId="2679C866">
            <w:pPr>
              <w:widowControl/>
              <w:autoSpaceDE w:val="0"/>
              <w:autoSpaceDN w:val="0"/>
              <w:spacing w:line="280" w:lineRule="exact"/>
              <w:jc w:val="left"/>
              <w:rPr>
                <w:rFonts w:ascii="Times New Roman" w:hAnsi="Times New Roman" w:eastAsia="仿宋_GB2312" w:cs="方正仿宋_GBK"/>
                <w:color w:val="auto"/>
                <w:szCs w:val="21"/>
              </w:rPr>
            </w:pPr>
          </w:p>
        </w:tc>
        <w:tc>
          <w:tcPr>
            <w:tcW w:w="794" w:type="dxa"/>
            <w:vMerge w:val="continue"/>
            <w:vAlign w:val="center"/>
          </w:tcPr>
          <w:p w14:paraId="6F8C9749">
            <w:pPr>
              <w:widowControl/>
              <w:autoSpaceDE w:val="0"/>
              <w:autoSpaceDN w:val="0"/>
              <w:spacing w:line="280" w:lineRule="exact"/>
              <w:jc w:val="left"/>
              <w:rPr>
                <w:rFonts w:ascii="Times New Roman" w:hAnsi="Times New Roman" w:eastAsia="仿宋_GB2312" w:cs="方正仿宋_GBK"/>
                <w:color w:val="auto"/>
                <w:szCs w:val="21"/>
              </w:rPr>
            </w:pPr>
          </w:p>
        </w:tc>
        <w:tc>
          <w:tcPr>
            <w:tcW w:w="872" w:type="dxa"/>
            <w:vMerge w:val="continue"/>
            <w:vAlign w:val="center"/>
          </w:tcPr>
          <w:p w14:paraId="7C42FAF1">
            <w:pPr>
              <w:widowControl/>
              <w:autoSpaceDE w:val="0"/>
              <w:autoSpaceDN w:val="0"/>
              <w:spacing w:line="280" w:lineRule="exact"/>
              <w:jc w:val="left"/>
              <w:rPr>
                <w:rFonts w:ascii="Times New Roman" w:hAnsi="Times New Roman" w:eastAsia="仿宋_GB2312" w:cs="方正仿宋_GBK"/>
                <w:color w:val="auto"/>
                <w:szCs w:val="21"/>
              </w:rPr>
            </w:pPr>
          </w:p>
        </w:tc>
        <w:tc>
          <w:tcPr>
            <w:tcW w:w="869" w:type="dxa"/>
            <w:vMerge w:val="continue"/>
            <w:vAlign w:val="center"/>
          </w:tcPr>
          <w:p w14:paraId="29EC4B89">
            <w:pPr>
              <w:widowControl/>
              <w:autoSpaceDE w:val="0"/>
              <w:autoSpaceDN w:val="0"/>
              <w:spacing w:line="280" w:lineRule="exact"/>
              <w:jc w:val="center"/>
              <w:rPr>
                <w:rFonts w:ascii="Times New Roman" w:hAnsi="Times New Roman" w:eastAsia="仿宋_GB2312" w:cs="方正仿宋_GBK"/>
                <w:color w:val="auto"/>
                <w:szCs w:val="21"/>
              </w:rPr>
            </w:pPr>
          </w:p>
        </w:tc>
        <w:tc>
          <w:tcPr>
            <w:tcW w:w="4962" w:type="dxa"/>
            <w:vAlign w:val="center"/>
          </w:tcPr>
          <w:p w14:paraId="20A65EC0">
            <w:pPr>
              <w:widowControl/>
              <w:autoSpaceDE w:val="0"/>
              <w:autoSpaceDN w:val="0"/>
              <w:spacing w:line="26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【行政法规】《民用建筑节能条例》</w:t>
            </w:r>
          </w:p>
          <w:p w14:paraId="5957726E">
            <w:pPr>
              <w:widowControl/>
              <w:autoSpaceDE w:val="0"/>
              <w:autoSpaceDN w:val="0"/>
              <w:spacing w:line="26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第十四条第二款　按照合同约定由建设单位采购墙体材料、保温材料、门窗、采暖制冷系统和照明设备的，建设单位应当保证其符合施工图设计文件要求。</w:t>
            </w:r>
          </w:p>
          <w:p w14:paraId="38335C40">
            <w:pPr>
              <w:widowControl/>
              <w:autoSpaceDE w:val="0"/>
              <w:autoSpaceDN w:val="0"/>
              <w:spacing w:line="26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第三十七条　违反本条例规定，建设单位有下列行为之一的，由县级以上地方人民政府建设主管部门责令改正，处20万元以上50万元以下的罚款：</w:t>
            </w:r>
          </w:p>
          <w:p w14:paraId="46CD1A7B">
            <w:pPr>
              <w:widowControl/>
              <w:autoSpaceDE w:val="0"/>
              <w:autoSpaceDN w:val="0"/>
              <w:spacing w:line="26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（三）采购不符合施工图设计文件要求的墙体材料、保温材料、门窗、采暖制冷系统和照明设备的；</w:t>
            </w:r>
          </w:p>
        </w:tc>
        <w:tc>
          <w:tcPr>
            <w:tcW w:w="992" w:type="dxa"/>
            <w:vMerge w:val="continue"/>
            <w:vAlign w:val="center"/>
          </w:tcPr>
          <w:p w14:paraId="7C0F685A">
            <w:pPr>
              <w:widowControl/>
              <w:autoSpaceDE w:val="0"/>
              <w:autoSpaceDN w:val="0"/>
              <w:spacing w:line="280" w:lineRule="exact"/>
              <w:jc w:val="left"/>
              <w:rPr>
                <w:rFonts w:ascii="Times New Roman" w:hAnsi="Times New Roman" w:eastAsia="仿宋_GB2312" w:cs="方正仿宋_GBK"/>
                <w:color w:val="auto"/>
                <w:szCs w:val="21"/>
              </w:rPr>
            </w:pPr>
          </w:p>
        </w:tc>
        <w:tc>
          <w:tcPr>
            <w:tcW w:w="1139" w:type="dxa"/>
            <w:vMerge w:val="continue"/>
            <w:vAlign w:val="center"/>
          </w:tcPr>
          <w:p w14:paraId="3BD131D7">
            <w:pPr>
              <w:widowControl/>
              <w:autoSpaceDE w:val="0"/>
              <w:autoSpaceDN w:val="0"/>
              <w:spacing w:line="280" w:lineRule="exact"/>
              <w:jc w:val="left"/>
              <w:rPr>
                <w:rFonts w:ascii="Times New Roman" w:hAnsi="Times New Roman" w:eastAsia="仿宋_GB2312" w:cs="方正仿宋_GBK"/>
                <w:color w:val="auto"/>
                <w:szCs w:val="21"/>
              </w:rPr>
            </w:pPr>
          </w:p>
        </w:tc>
        <w:tc>
          <w:tcPr>
            <w:tcW w:w="1491" w:type="dxa"/>
            <w:vAlign w:val="center"/>
          </w:tcPr>
          <w:p w14:paraId="38B7BB10">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320217024000</w:t>
            </w:r>
          </w:p>
        </w:tc>
        <w:tc>
          <w:tcPr>
            <w:tcW w:w="1481" w:type="dxa"/>
            <w:vAlign w:val="center"/>
          </w:tcPr>
          <w:p w14:paraId="1910209F">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对建设单位采购不符合施工图设计文件要求的墙体材料、保温材料、门窗、采暖制冷系统和照明设备的处罚</w:t>
            </w:r>
          </w:p>
        </w:tc>
        <w:tc>
          <w:tcPr>
            <w:tcW w:w="622" w:type="dxa"/>
            <w:vAlign w:val="center"/>
          </w:tcPr>
          <w:p w14:paraId="5C168861">
            <w:pPr>
              <w:widowControl/>
              <w:autoSpaceDE w:val="0"/>
              <w:autoSpaceDN w:val="0"/>
              <w:spacing w:line="280" w:lineRule="exact"/>
              <w:jc w:val="left"/>
              <w:rPr>
                <w:rFonts w:ascii="Times New Roman" w:hAnsi="Times New Roman" w:eastAsia="仿宋_GB2312" w:cs="方正仿宋_GBK"/>
                <w:color w:val="auto"/>
                <w:szCs w:val="21"/>
              </w:rPr>
            </w:pPr>
          </w:p>
        </w:tc>
      </w:tr>
      <w:tr w14:paraId="7DD98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8" w:hRule="atLeast"/>
          <w:jc w:val="center"/>
        </w:trPr>
        <w:tc>
          <w:tcPr>
            <w:tcW w:w="536" w:type="dxa"/>
            <w:vMerge w:val="continue"/>
            <w:vAlign w:val="center"/>
          </w:tcPr>
          <w:p w14:paraId="1CDD6A8B">
            <w:pPr>
              <w:widowControl/>
              <w:autoSpaceDE w:val="0"/>
              <w:autoSpaceDN w:val="0"/>
              <w:spacing w:line="280" w:lineRule="exact"/>
              <w:jc w:val="left"/>
              <w:rPr>
                <w:rFonts w:ascii="Times New Roman" w:hAnsi="Times New Roman" w:eastAsia="仿宋_GB2312" w:cs="方正仿宋_GBK"/>
                <w:color w:val="auto"/>
                <w:szCs w:val="21"/>
              </w:rPr>
            </w:pPr>
          </w:p>
        </w:tc>
        <w:tc>
          <w:tcPr>
            <w:tcW w:w="1324" w:type="dxa"/>
            <w:vMerge w:val="continue"/>
            <w:vAlign w:val="center"/>
          </w:tcPr>
          <w:p w14:paraId="3E6312E1">
            <w:pPr>
              <w:widowControl/>
              <w:autoSpaceDE w:val="0"/>
              <w:autoSpaceDN w:val="0"/>
              <w:spacing w:line="280" w:lineRule="exact"/>
              <w:jc w:val="left"/>
              <w:rPr>
                <w:rFonts w:ascii="Times New Roman" w:hAnsi="Times New Roman" w:eastAsia="仿宋_GB2312" w:cs="方正仿宋_GBK"/>
                <w:color w:val="auto"/>
                <w:szCs w:val="21"/>
              </w:rPr>
            </w:pPr>
          </w:p>
        </w:tc>
        <w:tc>
          <w:tcPr>
            <w:tcW w:w="794" w:type="dxa"/>
            <w:vMerge w:val="continue"/>
            <w:vAlign w:val="center"/>
          </w:tcPr>
          <w:p w14:paraId="62F914AC">
            <w:pPr>
              <w:widowControl/>
              <w:autoSpaceDE w:val="0"/>
              <w:autoSpaceDN w:val="0"/>
              <w:spacing w:line="280" w:lineRule="exact"/>
              <w:jc w:val="left"/>
              <w:rPr>
                <w:rFonts w:ascii="Times New Roman" w:hAnsi="Times New Roman" w:eastAsia="仿宋_GB2312" w:cs="方正仿宋_GBK"/>
                <w:color w:val="auto"/>
                <w:szCs w:val="21"/>
              </w:rPr>
            </w:pPr>
          </w:p>
        </w:tc>
        <w:tc>
          <w:tcPr>
            <w:tcW w:w="872" w:type="dxa"/>
            <w:vMerge w:val="continue"/>
            <w:vAlign w:val="center"/>
          </w:tcPr>
          <w:p w14:paraId="21AF49FD">
            <w:pPr>
              <w:widowControl/>
              <w:autoSpaceDE w:val="0"/>
              <w:autoSpaceDN w:val="0"/>
              <w:spacing w:line="280" w:lineRule="exact"/>
              <w:jc w:val="left"/>
              <w:rPr>
                <w:rFonts w:ascii="Times New Roman" w:hAnsi="Times New Roman" w:eastAsia="仿宋_GB2312" w:cs="方正仿宋_GBK"/>
                <w:color w:val="auto"/>
                <w:szCs w:val="21"/>
              </w:rPr>
            </w:pPr>
          </w:p>
        </w:tc>
        <w:tc>
          <w:tcPr>
            <w:tcW w:w="869" w:type="dxa"/>
            <w:vMerge w:val="continue"/>
            <w:vAlign w:val="center"/>
          </w:tcPr>
          <w:p w14:paraId="054D9A85">
            <w:pPr>
              <w:widowControl/>
              <w:autoSpaceDE w:val="0"/>
              <w:autoSpaceDN w:val="0"/>
              <w:spacing w:line="280" w:lineRule="exact"/>
              <w:jc w:val="center"/>
              <w:rPr>
                <w:rFonts w:ascii="Times New Roman" w:hAnsi="Times New Roman" w:eastAsia="仿宋_GB2312" w:cs="方正仿宋_GBK"/>
                <w:color w:val="auto"/>
                <w:szCs w:val="21"/>
              </w:rPr>
            </w:pPr>
          </w:p>
        </w:tc>
        <w:tc>
          <w:tcPr>
            <w:tcW w:w="4962" w:type="dxa"/>
            <w:vAlign w:val="center"/>
          </w:tcPr>
          <w:p w14:paraId="4EFEEB34">
            <w:pPr>
              <w:widowControl/>
              <w:autoSpaceDE w:val="0"/>
              <w:autoSpaceDN w:val="0"/>
              <w:spacing w:line="27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【行政法规】《民用建筑节能条例》</w:t>
            </w:r>
          </w:p>
          <w:p w14:paraId="56C31F25">
            <w:pPr>
              <w:widowControl/>
              <w:autoSpaceDE w:val="0"/>
              <w:autoSpaceDN w:val="0"/>
              <w:spacing w:line="27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第十四条　建设单位不得明示或者暗示设计单位、施工单位违反民用建筑节能强制性标准进行设计、施工，不得明示或者暗示施工单位使用不符合施工图设计文件要求的墙体材料、保温材料、门窗、采暖制冷系统和照明设备。</w:t>
            </w:r>
          </w:p>
          <w:p w14:paraId="27D43DA7">
            <w:pPr>
              <w:widowControl/>
              <w:autoSpaceDE w:val="0"/>
              <w:autoSpaceDN w:val="0"/>
              <w:spacing w:line="27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第三十七条　违反本条例规定，建设单位有下列行为之一的，由县级以上地方人民政府建设主管部门责令改正，处20万元以上50万元以下的罚款：</w:t>
            </w:r>
          </w:p>
          <w:p w14:paraId="7D5E7437">
            <w:pPr>
              <w:widowControl/>
              <w:autoSpaceDE w:val="0"/>
              <w:autoSpaceDN w:val="0"/>
              <w:spacing w:line="27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（二）明示或者暗示施工单位使用不符合施工图设计文件要求的墙体材料、保温材料、门窗、采暖制冷系统和照明设备的。</w:t>
            </w:r>
          </w:p>
        </w:tc>
        <w:tc>
          <w:tcPr>
            <w:tcW w:w="992" w:type="dxa"/>
            <w:vMerge w:val="continue"/>
            <w:vAlign w:val="center"/>
          </w:tcPr>
          <w:p w14:paraId="157BC40C">
            <w:pPr>
              <w:widowControl/>
              <w:autoSpaceDE w:val="0"/>
              <w:autoSpaceDN w:val="0"/>
              <w:spacing w:line="280" w:lineRule="exact"/>
              <w:jc w:val="left"/>
              <w:rPr>
                <w:rFonts w:ascii="Times New Roman" w:hAnsi="Times New Roman" w:eastAsia="仿宋_GB2312" w:cs="方正仿宋_GBK"/>
                <w:color w:val="auto"/>
                <w:szCs w:val="21"/>
              </w:rPr>
            </w:pPr>
          </w:p>
        </w:tc>
        <w:tc>
          <w:tcPr>
            <w:tcW w:w="1139" w:type="dxa"/>
            <w:vMerge w:val="continue"/>
            <w:vAlign w:val="center"/>
          </w:tcPr>
          <w:p w14:paraId="7CB96BC6">
            <w:pPr>
              <w:widowControl/>
              <w:autoSpaceDE w:val="0"/>
              <w:autoSpaceDN w:val="0"/>
              <w:spacing w:line="280" w:lineRule="exact"/>
              <w:jc w:val="left"/>
              <w:rPr>
                <w:rFonts w:ascii="Times New Roman" w:hAnsi="Times New Roman" w:eastAsia="仿宋_GB2312" w:cs="方正仿宋_GBK"/>
                <w:color w:val="auto"/>
                <w:szCs w:val="21"/>
              </w:rPr>
            </w:pPr>
          </w:p>
        </w:tc>
        <w:tc>
          <w:tcPr>
            <w:tcW w:w="1491" w:type="dxa"/>
            <w:vAlign w:val="center"/>
          </w:tcPr>
          <w:p w14:paraId="53F593DA">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320217023000</w:t>
            </w:r>
          </w:p>
        </w:tc>
        <w:tc>
          <w:tcPr>
            <w:tcW w:w="1481" w:type="dxa"/>
            <w:vAlign w:val="center"/>
          </w:tcPr>
          <w:p w14:paraId="05C0C0BD">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对建设单位明示或者暗示施工单位使用不符合施工图设计文件要求的墙体材料、保温材料、门窗、供暖制冷系统、照明设备的处罚</w:t>
            </w:r>
          </w:p>
        </w:tc>
        <w:tc>
          <w:tcPr>
            <w:tcW w:w="622" w:type="dxa"/>
            <w:vAlign w:val="center"/>
          </w:tcPr>
          <w:p w14:paraId="0ABEBC6E">
            <w:pPr>
              <w:widowControl/>
              <w:autoSpaceDE w:val="0"/>
              <w:autoSpaceDN w:val="0"/>
              <w:spacing w:line="280" w:lineRule="exact"/>
              <w:jc w:val="left"/>
              <w:rPr>
                <w:rFonts w:ascii="Times New Roman" w:hAnsi="Times New Roman" w:eastAsia="仿宋_GB2312" w:cs="方正仿宋_GBK"/>
                <w:color w:val="auto"/>
                <w:szCs w:val="21"/>
              </w:rPr>
            </w:pPr>
          </w:p>
        </w:tc>
      </w:tr>
      <w:tr w14:paraId="77D32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6" w:type="dxa"/>
            <w:vMerge w:val="restart"/>
            <w:vAlign w:val="center"/>
          </w:tcPr>
          <w:p w14:paraId="79E40F0A">
            <w:pPr>
              <w:autoSpaceDE w:val="0"/>
              <w:autoSpaceDN w:val="0"/>
              <w:spacing w:line="280" w:lineRule="exact"/>
              <w:jc w:val="center"/>
              <w:rPr>
                <w:rFonts w:hint="default" w:ascii="Times New Roman" w:hAnsi="Times New Roman" w:eastAsia="仿宋_GB2312" w:cs="方正仿宋_GBK"/>
                <w:color w:val="auto"/>
                <w:szCs w:val="21"/>
                <w:lang w:val="en-US" w:eastAsia="zh-CN"/>
              </w:rPr>
            </w:pPr>
            <w:r>
              <w:rPr>
                <w:rFonts w:hint="eastAsia" w:ascii="Times New Roman" w:hAnsi="Times New Roman" w:eastAsia="仿宋_GB2312" w:cs="方正仿宋_GBK"/>
                <w:color w:val="auto"/>
                <w:szCs w:val="21"/>
                <w:lang w:val="en-US" w:eastAsia="zh-CN"/>
              </w:rPr>
              <w:t>15</w:t>
            </w:r>
          </w:p>
        </w:tc>
        <w:tc>
          <w:tcPr>
            <w:tcW w:w="1324" w:type="dxa"/>
            <w:vMerge w:val="restart"/>
            <w:vAlign w:val="center"/>
          </w:tcPr>
          <w:p w14:paraId="6EEB1568">
            <w:pPr>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对房屋市政工程质量、安全及文明施工情况的行政检查</w:t>
            </w:r>
          </w:p>
        </w:tc>
        <w:tc>
          <w:tcPr>
            <w:tcW w:w="794" w:type="dxa"/>
            <w:vMerge w:val="restart"/>
            <w:vAlign w:val="center"/>
          </w:tcPr>
          <w:p w14:paraId="11ABA7FF">
            <w:pPr>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苏州市相城区住房和城乡建设局</w:t>
            </w:r>
          </w:p>
        </w:tc>
        <w:tc>
          <w:tcPr>
            <w:tcW w:w="872" w:type="dxa"/>
            <w:vMerge w:val="restart"/>
            <w:vAlign w:val="center"/>
          </w:tcPr>
          <w:p w14:paraId="77587289">
            <w:pPr>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相城区建设工程质量安全监督中心</w:t>
            </w:r>
          </w:p>
        </w:tc>
        <w:tc>
          <w:tcPr>
            <w:tcW w:w="869" w:type="dxa"/>
            <w:vMerge w:val="restart"/>
            <w:vAlign w:val="center"/>
          </w:tcPr>
          <w:p w14:paraId="3F28C1A2">
            <w:pPr>
              <w:widowControl/>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施工</w:t>
            </w:r>
          </w:p>
          <w:p w14:paraId="4D2D2C07">
            <w:pPr>
              <w:widowControl/>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单位</w:t>
            </w:r>
          </w:p>
        </w:tc>
        <w:tc>
          <w:tcPr>
            <w:tcW w:w="4962" w:type="dxa"/>
            <w:vAlign w:val="center"/>
          </w:tcPr>
          <w:p w14:paraId="7BCF2726">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【行政法规】《建设工程安全生产管理条例》</w:t>
            </w:r>
          </w:p>
          <w:p w14:paraId="63A8C200">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第二十七条　建设工程施工前，施工单位负责项目管理的技术人员应当对有关安全施工的技术要求向施工作业班组、作业人员作出详细说明，并由双方签字确认。</w:t>
            </w:r>
          </w:p>
          <w:p w14:paraId="119DFBBC">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第六十四条第一款　违反本条例的规定，施工单位有下列行为之一的，责令限期改正；逾期未改正的，责令停业整顿，并处5万元以上10万元以下的罚款；造成重大安全事故，构成犯罪的，对直接责任人员，依照刑法有关规定追究刑事责任：</w:t>
            </w:r>
          </w:p>
          <w:p w14:paraId="5402D406">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（一）施工前未对有关安全施工的技术要求作出详细说明的。</w:t>
            </w:r>
          </w:p>
          <w:p w14:paraId="5573C34A">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第六十八条　本条例规定的行政处罚，由建设行政主管部门或者其他有关部门依照法定职权决定。违反消防安全管理规定的行为，由公安消防机构依法处罚。有关法律、行政法规对建设工程安全生产违法行为的行政处罚决定机关另有规定的，从其规定。</w:t>
            </w:r>
          </w:p>
        </w:tc>
        <w:tc>
          <w:tcPr>
            <w:tcW w:w="992" w:type="dxa"/>
            <w:vMerge w:val="restart"/>
            <w:vAlign w:val="center"/>
          </w:tcPr>
          <w:p w14:paraId="3C34AE71">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现场检查、书面检查</w:t>
            </w:r>
          </w:p>
        </w:tc>
        <w:tc>
          <w:tcPr>
            <w:tcW w:w="1139" w:type="dxa"/>
            <w:vMerge w:val="restart"/>
            <w:vAlign w:val="center"/>
          </w:tcPr>
          <w:p w14:paraId="1B2E8F16">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双随机+重点检查</w:t>
            </w:r>
          </w:p>
        </w:tc>
        <w:tc>
          <w:tcPr>
            <w:tcW w:w="1491" w:type="dxa"/>
            <w:vAlign w:val="center"/>
          </w:tcPr>
          <w:p w14:paraId="4B8C6075">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320217011000</w:t>
            </w:r>
          </w:p>
        </w:tc>
        <w:tc>
          <w:tcPr>
            <w:tcW w:w="1481" w:type="dxa"/>
            <w:vAlign w:val="center"/>
          </w:tcPr>
          <w:p w14:paraId="238D305F">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对施工单位施工前未对有关安全施工的技术要求作出详细说明的处罚</w:t>
            </w:r>
          </w:p>
        </w:tc>
        <w:tc>
          <w:tcPr>
            <w:tcW w:w="622" w:type="dxa"/>
            <w:vAlign w:val="center"/>
          </w:tcPr>
          <w:p w14:paraId="66DCA304">
            <w:pPr>
              <w:widowControl/>
              <w:autoSpaceDE w:val="0"/>
              <w:autoSpaceDN w:val="0"/>
              <w:spacing w:line="280" w:lineRule="exact"/>
              <w:jc w:val="left"/>
              <w:rPr>
                <w:rFonts w:ascii="Times New Roman" w:hAnsi="Times New Roman" w:eastAsia="仿宋_GB2312" w:cs="方正仿宋_GBK"/>
                <w:color w:val="auto"/>
                <w:szCs w:val="21"/>
              </w:rPr>
            </w:pPr>
          </w:p>
        </w:tc>
      </w:tr>
      <w:tr w14:paraId="56CB4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6" w:type="dxa"/>
            <w:vMerge w:val="continue"/>
            <w:vAlign w:val="center"/>
          </w:tcPr>
          <w:p w14:paraId="00855E60">
            <w:pPr>
              <w:widowControl/>
              <w:autoSpaceDE w:val="0"/>
              <w:autoSpaceDN w:val="0"/>
              <w:spacing w:line="280" w:lineRule="exact"/>
              <w:jc w:val="left"/>
              <w:rPr>
                <w:rFonts w:ascii="Times New Roman" w:hAnsi="Times New Roman" w:eastAsia="仿宋_GB2312" w:cs="方正仿宋_GBK"/>
                <w:color w:val="auto"/>
                <w:szCs w:val="21"/>
              </w:rPr>
            </w:pPr>
          </w:p>
        </w:tc>
        <w:tc>
          <w:tcPr>
            <w:tcW w:w="1324" w:type="dxa"/>
            <w:vMerge w:val="continue"/>
            <w:vAlign w:val="center"/>
          </w:tcPr>
          <w:p w14:paraId="7D5BF0AE">
            <w:pPr>
              <w:widowControl/>
              <w:autoSpaceDE w:val="0"/>
              <w:autoSpaceDN w:val="0"/>
              <w:spacing w:line="280" w:lineRule="exact"/>
              <w:jc w:val="left"/>
              <w:rPr>
                <w:rFonts w:ascii="Times New Roman" w:hAnsi="Times New Roman" w:eastAsia="仿宋_GB2312" w:cs="方正仿宋_GBK"/>
                <w:color w:val="auto"/>
                <w:szCs w:val="21"/>
              </w:rPr>
            </w:pPr>
          </w:p>
        </w:tc>
        <w:tc>
          <w:tcPr>
            <w:tcW w:w="794" w:type="dxa"/>
            <w:vMerge w:val="continue"/>
            <w:vAlign w:val="center"/>
          </w:tcPr>
          <w:p w14:paraId="5E1BBB68">
            <w:pPr>
              <w:widowControl/>
              <w:autoSpaceDE w:val="0"/>
              <w:autoSpaceDN w:val="0"/>
              <w:spacing w:line="280" w:lineRule="exact"/>
              <w:jc w:val="left"/>
              <w:rPr>
                <w:rFonts w:ascii="Times New Roman" w:hAnsi="Times New Roman" w:eastAsia="仿宋_GB2312" w:cs="方正仿宋_GBK"/>
                <w:color w:val="auto"/>
                <w:szCs w:val="21"/>
              </w:rPr>
            </w:pPr>
          </w:p>
        </w:tc>
        <w:tc>
          <w:tcPr>
            <w:tcW w:w="872" w:type="dxa"/>
            <w:vMerge w:val="continue"/>
            <w:vAlign w:val="center"/>
          </w:tcPr>
          <w:p w14:paraId="6F966D48">
            <w:pPr>
              <w:widowControl/>
              <w:autoSpaceDE w:val="0"/>
              <w:autoSpaceDN w:val="0"/>
              <w:spacing w:line="280" w:lineRule="exact"/>
              <w:jc w:val="left"/>
              <w:rPr>
                <w:rFonts w:ascii="Times New Roman" w:hAnsi="Times New Roman" w:eastAsia="仿宋_GB2312" w:cs="方正仿宋_GBK"/>
                <w:color w:val="auto"/>
                <w:szCs w:val="21"/>
              </w:rPr>
            </w:pPr>
          </w:p>
        </w:tc>
        <w:tc>
          <w:tcPr>
            <w:tcW w:w="869" w:type="dxa"/>
            <w:vMerge w:val="continue"/>
            <w:vAlign w:val="center"/>
          </w:tcPr>
          <w:p w14:paraId="622A6AE0">
            <w:pPr>
              <w:widowControl/>
              <w:autoSpaceDE w:val="0"/>
              <w:autoSpaceDN w:val="0"/>
              <w:spacing w:line="280" w:lineRule="exact"/>
              <w:jc w:val="center"/>
              <w:rPr>
                <w:rFonts w:ascii="Times New Roman" w:hAnsi="Times New Roman" w:eastAsia="仿宋_GB2312" w:cs="方正仿宋_GBK"/>
                <w:color w:val="auto"/>
                <w:szCs w:val="21"/>
              </w:rPr>
            </w:pPr>
          </w:p>
        </w:tc>
        <w:tc>
          <w:tcPr>
            <w:tcW w:w="4962" w:type="dxa"/>
            <w:vAlign w:val="center"/>
          </w:tcPr>
          <w:p w14:paraId="5CE9C1E9">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【法律】《中华人民共和国安全生产法》</w:t>
            </w:r>
          </w:p>
          <w:p w14:paraId="2B79D435">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第三十五条　生产经营单位应当在有较大危险因素的生产经营场所和有关设施、设备上，设置明显的安全警示标志。</w:t>
            </w:r>
          </w:p>
          <w:p w14:paraId="0D4E6E13">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第九十九条　生产经营单位有下列行为之一的，责令限期改正，处五万元以下的罚款；逾期未改正的，处五万元以上二十万元以下的罚款，对其直接负责的主管人员和其他直接责任人员处一万元以上二万元以下的罚款；情节严重的，责令停产停业整顿；构成犯罪的，依照刑法有关规定追究刑事责任：</w:t>
            </w:r>
          </w:p>
          <w:p w14:paraId="2902DCA9">
            <w:pPr>
              <w:widowControl/>
              <w:autoSpaceDE w:val="0"/>
              <w:autoSpaceDN w:val="0"/>
              <w:spacing w:line="26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（一）未在有较大危险因素的生产经营场所和有关设施、设备上设置明显的安全警示标志的；</w:t>
            </w:r>
          </w:p>
        </w:tc>
        <w:tc>
          <w:tcPr>
            <w:tcW w:w="992" w:type="dxa"/>
            <w:vMerge w:val="continue"/>
            <w:vAlign w:val="center"/>
          </w:tcPr>
          <w:p w14:paraId="636EE913">
            <w:pPr>
              <w:widowControl/>
              <w:autoSpaceDE w:val="0"/>
              <w:autoSpaceDN w:val="0"/>
              <w:spacing w:line="280" w:lineRule="exact"/>
              <w:jc w:val="left"/>
              <w:rPr>
                <w:rFonts w:ascii="Times New Roman" w:hAnsi="Times New Roman" w:eastAsia="仿宋_GB2312" w:cs="方正仿宋_GBK"/>
                <w:color w:val="auto"/>
                <w:szCs w:val="21"/>
              </w:rPr>
            </w:pPr>
          </w:p>
        </w:tc>
        <w:tc>
          <w:tcPr>
            <w:tcW w:w="1139" w:type="dxa"/>
            <w:vMerge w:val="continue"/>
            <w:vAlign w:val="center"/>
          </w:tcPr>
          <w:p w14:paraId="0E7F1032">
            <w:pPr>
              <w:widowControl/>
              <w:autoSpaceDE w:val="0"/>
              <w:autoSpaceDN w:val="0"/>
              <w:spacing w:line="280" w:lineRule="exact"/>
              <w:jc w:val="left"/>
              <w:rPr>
                <w:rFonts w:ascii="Times New Roman" w:hAnsi="Times New Roman" w:eastAsia="仿宋_GB2312" w:cs="方正仿宋_GBK"/>
                <w:color w:val="auto"/>
                <w:szCs w:val="21"/>
              </w:rPr>
            </w:pPr>
          </w:p>
        </w:tc>
        <w:tc>
          <w:tcPr>
            <w:tcW w:w="1491" w:type="dxa"/>
            <w:vAlign w:val="center"/>
          </w:tcPr>
          <w:p w14:paraId="67B24F68">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320217010000</w:t>
            </w:r>
          </w:p>
        </w:tc>
        <w:tc>
          <w:tcPr>
            <w:tcW w:w="1481" w:type="dxa"/>
            <w:vAlign w:val="center"/>
          </w:tcPr>
          <w:p w14:paraId="689DF2E9">
            <w:pPr>
              <w:widowControl/>
              <w:autoSpaceDE w:val="0"/>
              <w:autoSpaceDN w:val="0"/>
              <w:spacing w:line="26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对施工单位未在施工现场的危险部位设置明显的安全警示标志，或者未按照国家有关规定在施工现场设置消防通道、消防水源、配备消防设施和灭火器材的处罚</w:t>
            </w:r>
          </w:p>
        </w:tc>
        <w:tc>
          <w:tcPr>
            <w:tcW w:w="622" w:type="dxa"/>
            <w:vAlign w:val="center"/>
          </w:tcPr>
          <w:p w14:paraId="24C12658">
            <w:pPr>
              <w:widowControl/>
              <w:autoSpaceDE w:val="0"/>
              <w:autoSpaceDN w:val="0"/>
              <w:spacing w:line="280" w:lineRule="exact"/>
              <w:jc w:val="left"/>
              <w:rPr>
                <w:rFonts w:ascii="Times New Roman" w:hAnsi="Times New Roman" w:eastAsia="仿宋_GB2312" w:cs="方正仿宋_GBK"/>
                <w:color w:val="auto"/>
                <w:szCs w:val="21"/>
              </w:rPr>
            </w:pPr>
          </w:p>
        </w:tc>
      </w:tr>
      <w:tr w14:paraId="2E977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05" w:hRule="atLeast"/>
          <w:jc w:val="center"/>
        </w:trPr>
        <w:tc>
          <w:tcPr>
            <w:tcW w:w="536" w:type="dxa"/>
            <w:vAlign w:val="center"/>
          </w:tcPr>
          <w:p w14:paraId="520AF54B">
            <w:pPr>
              <w:autoSpaceDE w:val="0"/>
              <w:autoSpaceDN w:val="0"/>
              <w:spacing w:line="280" w:lineRule="exact"/>
              <w:jc w:val="center"/>
              <w:rPr>
                <w:rFonts w:hint="default" w:ascii="Times New Roman" w:hAnsi="Times New Roman" w:eastAsia="仿宋_GB2312" w:cs="方正仿宋_GBK"/>
                <w:color w:val="auto"/>
                <w:szCs w:val="21"/>
                <w:lang w:val="en-US" w:eastAsia="zh-CN"/>
              </w:rPr>
            </w:pPr>
            <w:r>
              <w:rPr>
                <w:rFonts w:hint="eastAsia" w:ascii="Times New Roman" w:hAnsi="Times New Roman" w:eastAsia="仿宋_GB2312" w:cs="方正仿宋_GBK"/>
                <w:color w:val="auto"/>
                <w:szCs w:val="21"/>
                <w:lang w:val="en-US" w:eastAsia="zh-CN"/>
              </w:rPr>
              <w:t>15</w:t>
            </w:r>
          </w:p>
        </w:tc>
        <w:tc>
          <w:tcPr>
            <w:tcW w:w="1324" w:type="dxa"/>
            <w:vAlign w:val="center"/>
          </w:tcPr>
          <w:p w14:paraId="607F8604">
            <w:pPr>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对房屋市政工程质量、安全及文明施工情况的行政检查</w:t>
            </w:r>
          </w:p>
        </w:tc>
        <w:tc>
          <w:tcPr>
            <w:tcW w:w="794" w:type="dxa"/>
            <w:vAlign w:val="center"/>
          </w:tcPr>
          <w:p w14:paraId="25BAA485">
            <w:pPr>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苏州市相城区住房和城乡建设局</w:t>
            </w:r>
          </w:p>
        </w:tc>
        <w:tc>
          <w:tcPr>
            <w:tcW w:w="872" w:type="dxa"/>
            <w:vAlign w:val="center"/>
          </w:tcPr>
          <w:p w14:paraId="4EADE3A6">
            <w:pPr>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相城区建设工程质量安全监督中心</w:t>
            </w:r>
          </w:p>
        </w:tc>
        <w:tc>
          <w:tcPr>
            <w:tcW w:w="869" w:type="dxa"/>
            <w:vAlign w:val="center"/>
          </w:tcPr>
          <w:p w14:paraId="3FB6DC62">
            <w:pPr>
              <w:widowControl/>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施工</w:t>
            </w:r>
          </w:p>
          <w:p w14:paraId="38BD6D2B">
            <w:pPr>
              <w:widowControl/>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单位</w:t>
            </w:r>
          </w:p>
        </w:tc>
        <w:tc>
          <w:tcPr>
            <w:tcW w:w="4962" w:type="dxa"/>
            <w:vAlign w:val="center"/>
          </w:tcPr>
          <w:p w14:paraId="655F09FB">
            <w:pPr>
              <w:widowControl/>
              <w:autoSpaceDE w:val="0"/>
              <w:autoSpaceDN w:val="0"/>
              <w:spacing w:line="26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第一百一十二条  生产经营单位违反本法规定，被责令改正且受到罚款处罚，拒不改正的，负有安全生产监督管理职责的部门可以自作出责令改正之日的次日起，按照原处罚数额按日连续处罚。</w:t>
            </w:r>
          </w:p>
          <w:p w14:paraId="4C14974F">
            <w:pPr>
              <w:widowControl/>
              <w:autoSpaceDE w:val="0"/>
              <w:autoSpaceDN w:val="0"/>
              <w:spacing w:line="26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【行政法规】《建设工程安全生产管理条例》</w:t>
            </w:r>
          </w:p>
          <w:p w14:paraId="6BE1E20F">
            <w:pPr>
              <w:widowControl/>
              <w:autoSpaceDE w:val="0"/>
              <w:autoSpaceDN w:val="0"/>
              <w:spacing w:line="26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第二十八条第一款　施工单位应当在施工现场入口处、施工起重机械、临时用电设施、脚手架、出入通道口、楼梯口、电梯井口、孔洞口、桥梁口、隧道口、基坑边沿、爆破物及有害危险气体和液体存放处等危险部位，设置明显的安全警示标志。安全警示标志必须符合国家标准。</w:t>
            </w:r>
          </w:p>
          <w:p w14:paraId="72303E73">
            <w:pPr>
              <w:widowControl/>
              <w:autoSpaceDE w:val="0"/>
              <w:autoSpaceDN w:val="0"/>
              <w:spacing w:line="26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第三十一条　施工单位应当在施工现场建立消防安全责任制度，确定消防安全责任人，制定用火、用电、使用易燃易爆材料等各项消防安全管理制度和操作规程，设置消防通道、消防水源，配备消防设施和灭火器材，并在施工现场入口处设置明显标志。</w:t>
            </w:r>
          </w:p>
          <w:p w14:paraId="526B5BAD">
            <w:pPr>
              <w:widowControl/>
              <w:autoSpaceDE w:val="0"/>
              <w:autoSpaceDN w:val="0"/>
              <w:spacing w:line="26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第六十二条　违反本条例的规定，施工单位有下列行为之一的，责令限期改正；逾期未改正的，责令停业整顿，依照《中华人民共和国安全生产法》的有关规定处以罚款；造成重大安全事故，构成犯罪的，对直接责任人员，依照刑法有关规定追究刑事责任：</w:t>
            </w:r>
          </w:p>
          <w:p w14:paraId="44FCA90D">
            <w:pPr>
              <w:widowControl/>
              <w:autoSpaceDE w:val="0"/>
              <w:autoSpaceDN w:val="0"/>
              <w:spacing w:line="26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（三）未在施工现场的危险部位设置明显的安全警示标志，或者未按照国家有关规定在施工现场设置消防通道、消防水源、配备消防设施和灭火器材的。</w:t>
            </w:r>
          </w:p>
          <w:p w14:paraId="5D5E0B19">
            <w:pPr>
              <w:widowControl/>
              <w:autoSpaceDE w:val="0"/>
              <w:autoSpaceDN w:val="0"/>
              <w:spacing w:line="26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第六十八条　本条例规定的行政处罚，由建设行政主管部门或者其他有关部门依照法定职权决定。</w:t>
            </w:r>
          </w:p>
          <w:p w14:paraId="7EC1350B">
            <w:pPr>
              <w:widowControl/>
              <w:autoSpaceDE w:val="0"/>
              <w:autoSpaceDN w:val="0"/>
              <w:spacing w:line="26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违反消防安全管理规定的行为，由公安消防机构依法处罚。</w:t>
            </w:r>
          </w:p>
          <w:p w14:paraId="1798DCDB">
            <w:pPr>
              <w:widowControl/>
              <w:autoSpaceDE w:val="0"/>
              <w:autoSpaceDN w:val="0"/>
              <w:spacing w:line="26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有关法律、行政法规对建设工程安全生产违法行为的行政处罚决定机关另有规定的，从其规定。</w:t>
            </w:r>
          </w:p>
        </w:tc>
        <w:tc>
          <w:tcPr>
            <w:tcW w:w="992" w:type="dxa"/>
            <w:vAlign w:val="center"/>
          </w:tcPr>
          <w:p w14:paraId="3CC16888">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现场检查、书面检查</w:t>
            </w:r>
          </w:p>
        </w:tc>
        <w:tc>
          <w:tcPr>
            <w:tcW w:w="1139" w:type="dxa"/>
            <w:vAlign w:val="center"/>
          </w:tcPr>
          <w:p w14:paraId="297DFA28">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双随机+重点检查</w:t>
            </w:r>
          </w:p>
        </w:tc>
        <w:tc>
          <w:tcPr>
            <w:tcW w:w="1491" w:type="dxa"/>
            <w:vAlign w:val="center"/>
          </w:tcPr>
          <w:p w14:paraId="748B2A61">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320217010000</w:t>
            </w:r>
          </w:p>
        </w:tc>
        <w:tc>
          <w:tcPr>
            <w:tcW w:w="1481" w:type="dxa"/>
            <w:vAlign w:val="center"/>
          </w:tcPr>
          <w:p w14:paraId="0C78AC15">
            <w:pPr>
              <w:widowControl/>
              <w:autoSpaceDE w:val="0"/>
              <w:autoSpaceDN w:val="0"/>
              <w:spacing w:line="26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对施工单位未在施工现场的危险部位设置明显的安全警示标志，或者未按照国家有关规定在施工现场设置消防通道、消防水源、配备消防设施和灭火器材的处罚</w:t>
            </w:r>
          </w:p>
        </w:tc>
        <w:tc>
          <w:tcPr>
            <w:tcW w:w="622" w:type="dxa"/>
            <w:vAlign w:val="center"/>
          </w:tcPr>
          <w:p w14:paraId="3A43BC54">
            <w:pPr>
              <w:widowControl/>
              <w:autoSpaceDE w:val="0"/>
              <w:autoSpaceDN w:val="0"/>
              <w:spacing w:line="280" w:lineRule="exact"/>
              <w:jc w:val="left"/>
              <w:rPr>
                <w:rFonts w:ascii="Times New Roman" w:hAnsi="Times New Roman" w:eastAsia="仿宋_GB2312" w:cs="方正仿宋_GBK"/>
                <w:color w:val="auto"/>
                <w:szCs w:val="21"/>
              </w:rPr>
            </w:pPr>
          </w:p>
        </w:tc>
      </w:tr>
      <w:tr w14:paraId="1B40A1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6" w:type="dxa"/>
            <w:vMerge w:val="restart"/>
            <w:vAlign w:val="center"/>
          </w:tcPr>
          <w:p w14:paraId="485AB6B1">
            <w:pPr>
              <w:autoSpaceDE w:val="0"/>
              <w:autoSpaceDN w:val="0"/>
              <w:spacing w:line="280" w:lineRule="exact"/>
              <w:jc w:val="center"/>
              <w:rPr>
                <w:rFonts w:hint="default" w:ascii="Times New Roman" w:hAnsi="Times New Roman" w:eastAsia="仿宋_GB2312" w:cs="方正仿宋_GBK"/>
                <w:color w:val="auto"/>
                <w:szCs w:val="21"/>
                <w:lang w:val="en-US" w:eastAsia="zh-CN"/>
              </w:rPr>
            </w:pPr>
            <w:r>
              <w:rPr>
                <w:rFonts w:hint="eastAsia" w:ascii="Times New Roman" w:hAnsi="Times New Roman" w:eastAsia="仿宋_GB2312" w:cs="方正仿宋_GBK"/>
                <w:color w:val="auto"/>
                <w:szCs w:val="21"/>
                <w:lang w:val="en-US" w:eastAsia="zh-CN"/>
              </w:rPr>
              <w:t>15</w:t>
            </w:r>
          </w:p>
        </w:tc>
        <w:tc>
          <w:tcPr>
            <w:tcW w:w="1324" w:type="dxa"/>
            <w:vMerge w:val="restart"/>
            <w:vAlign w:val="center"/>
          </w:tcPr>
          <w:p w14:paraId="44C3AD62">
            <w:pPr>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对房屋市政工程质量、安全及文明施工情况的行政检查</w:t>
            </w:r>
          </w:p>
        </w:tc>
        <w:tc>
          <w:tcPr>
            <w:tcW w:w="794" w:type="dxa"/>
            <w:vMerge w:val="restart"/>
            <w:vAlign w:val="center"/>
          </w:tcPr>
          <w:p w14:paraId="3F73C136">
            <w:pPr>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苏州市相城区住房和城乡建设局</w:t>
            </w:r>
          </w:p>
        </w:tc>
        <w:tc>
          <w:tcPr>
            <w:tcW w:w="872" w:type="dxa"/>
            <w:vMerge w:val="restart"/>
            <w:vAlign w:val="center"/>
          </w:tcPr>
          <w:p w14:paraId="200A822E">
            <w:pPr>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相城区建设工程质量安全监督中心</w:t>
            </w:r>
          </w:p>
        </w:tc>
        <w:tc>
          <w:tcPr>
            <w:tcW w:w="869" w:type="dxa"/>
            <w:vAlign w:val="center"/>
          </w:tcPr>
          <w:p w14:paraId="4844CE92">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建筑施工企业</w:t>
            </w:r>
          </w:p>
        </w:tc>
        <w:tc>
          <w:tcPr>
            <w:tcW w:w="4962" w:type="dxa"/>
            <w:vAlign w:val="center"/>
          </w:tcPr>
          <w:p w14:paraId="0B42B40D">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【规章】《建筑施工企业主要负责人、项目负责人和专职安全生产管理人员安全生产管理规定》　</w:t>
            </w:r>
          </w:p>
          <w:p w14:paraId="1CD05D65">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　　第二十九条　建筑施工企业未按规定开展“安管人员”安全生产教育培训考核，或者未按规定如实将考核情况记入安全生产教育培训档案的，由县级以上地方人民政府住房城乡建设主管部门责令限期改正，并处2万元以下的罚款。</w:t>
            </w:r>
          </w:p>
        </w:tc>
        <w:tc>
          <w:tcPr>
            <w:tcW w:w="992" w:type="dxa"/>
            <w:vMerge w:val="restart"/>
            <w:vAlign w:val="center"/>
          </w:tcPr>
          <w:p w14:paraId="2CF8C9B4">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现场检查、书面检查</w:t>
            </w:r>
          </w:p>
        </w:tc>
        <w:tc>
          <w:tcPr>
            <w:tcW w:w="1139" w:type="dxa"/>
            <w:vMerge w:val="restart"/>
            <w:vAlign w:val="center"/>
          </w:tcPr>
          <w:p w14:paraId="5FB05C59">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双随机+重点检查</w:t>
            </w:r>
          </w:p>
        </w:tc>
        <w:tc>
          <w:tcPr>
            <w:tcW w:w="1491" w:type="dxa"/>
            <w:vAlign w:val="center"/>
          </w:tcPr>
          <w:p w14:paraId="6FE096BB">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320217006000</w:t>
            </w:r>
          </w:p>
        </w:tc>
        <w:tc>
          <w:tcPr>
            <w:tcW w:w="1481" w:type="dxa"/>
            <w:vAlign w:val="center"/>
          </w:tcPr>
          <w:p w14:paraId="4111E3CE">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对建筑施工企业未按规定开展“安管人员”安全生产教育培训考核，或者未按规定如实将考核情况记入安全生产教育培训档案的处罚</w:t>
            </w:r>
          </w:p>
        </w:tc>
        <w:tc>
          <w:tcPr>
            <w:tcW w:w="622" w:type="dxa"/>
            <w:vAlign w:val="center"/>
          </w:tcPr>
          <w:p w14:paraId="58D621EC">
            <w:pPr>
              <w:widowControl/>
              <w:autoSpaceDE w:val="0"/>
              <w:autoSpaceDN w:val="0"/>
              <w:spacing w:line="280" w:lineRule="exact"/>
              <w:jc w:val="left"/>
              <w:rPr>
                <w:rFonts w:ascii="Times New Roman" w:hAnsi="Times New Roman" w:eastAsia="仿宋_GB2312" w:cs="方正仿宋_GBK"/>
                <w:color w:val="auto"/>
                <w:szCs w:val="21"/>
              </w:rPr>
            </w:pPr>
          </w:p>
        </w:tc>
      </w:tr>
      <w:tr w14:paraId="60524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6" w:type="dxa"/>
            <w:vMerge w:val="continue"/>
            <w:vAlign w:val="center"/>
          </w:tcPr>
          <w:p w14:paraId="25D6E9AB">
            <w:pPr>
              <w:widowControl/>
              <w:autoSpaceDE w:val="0"/>
              <w:autoSpaceDN w:val="0"/>
              <w:spacing w:line="280" w:lineRule="exact"/>
              <w:jc w:val="left"/>
              <w:rPr>
                <w:rFonts w:ascii="Times New Roman" w:hAnsi="Times New Roman" w:eastAsia="仿宋_GB2312" w:cs="方正仿宋_GBK"/>
                <w:color w:val="auto"/>
                <w:szCs w:val="21"/>
              </w:rPr>
            </w:pPr>
          </w:p>
        </w:tc>
        <w:tc>
          <w:tcPr>
            <w:tcW w:w="1324" w:type="dxa"/>
            <w:vMerge w:val="continue"/>
            <w:vAlign w:val="center"/>
          </w:tcPr>
          <w:p w14:paraId="3390B3BC">
            <w:pPr>
              <w:widowControl/>
              <w:autoSpaceDE w:val="0"/>
              <w:autoSpaceDN w:val="0"/>
              <w:spacing w:line="280" w:lineRule="exact"/>
              <w:jc w:val="left"/>
              <w:rPr>
                <w:rFonts w:ascii="Times New Roman" w:hAnsi="Times New Roman" w:eastAsia="仿宋_GB2312" w:cs="方正仿宋_GBK"/>
                <w:color w:val="auto"/>
                <w:szCs w:val="21"/>
              </w:rPr>
            </w:pPr>
          </w:p>
        </w:tc>
        <w:tc>
          <w:tcPr>
            <w:tcW w:w="794" w:type="dxa"/>
            <w:vMerge w:val="continue"/>
            <w:vAlign w:val="center"/>
          </w:tcPr>
          <w:p w14:paraId="4A870CED">
            <w:pPr>
              <w:widowControl/>
              <w:autoSpaceDE w:val="0"/>
              <w:autoSpaceDN w:val="0"/>
              <w:spacing w:line="280" w:lineRule="exact"/>
              <w:jc w:val="left"/>
              <w:rPr>
                <w:rFonts w:ascii="Times New Roman" w:hAnsi="Times New Roman" w:eastAsia="仿宋_GB2312" w:cs="方正仿宋_GBK"/>
                <w:color w:val="auto"/>
                <w:szCs w:val="21"/>
              </w:rPr>
            </w:pPr>
          </w:p>
        </w:tc>
        <w:tc>
          <w:tcPr>
            <w:tcW w:w="872" w:type="dxa"/>
            <w:vMerge w:val="continue"/>
            <w:vAlign w:val="center"/>
          </w:tcPr>
          <w:p w14:paraId="35427172">
            <w:pPr>
              <w:widowControl/>
              <w:autoSpaceDE w:val="0"/>
              <w:autoSpaceDN w:val="0"/>
              <w:spacing w:line="280" w:lineRule="exact"/>
              <w:jc w:val="left"/>
              <w:rPr>
                <w:rFonts w:ascii="Times New Roman" w:hAnsi="Times New Roman" w:eastAsia="仿宋_GB2312" w:cs="方正仿宋_GBK"/>
                <w:color w:val="auto"/>
                <w:szCs w:val="21"/>
              </w:rPr>
            </w:pPr>
          </w:p>
        </w:tc>
        <w:tc>
          <w:tcPr>
            <w:tcW w:w="869" w:type="dxa"/>
            <w:vAlign w:val="center"/>
          </w:tcPr>
          <w:p w14:paraId="5054C514">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建设单位、施工单位</w:t>
            </w:r>
          </w:p>
        </w:tc>
        <w:tc>
          <w:tcPr>
            <w:tcW w:w="4962" w:type="dxa"/>
            <w:vAlign w:val="center"/>
          </w:tcPr>
          <w:p w14:paraId="574D90BB">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【政府规章】《苏州市扬尘污染防治管理办法》</w:t>
            </w:r>
          </w:p>
          <w:p w14:paraId="60F7F958">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第四条  住房和城乡建设行政主管部门负责房屋建筑工程、市政基础设施工程和房屋拆除工程施工扬尘污染防治的监督和管理工作。</w:t>
            </w:r>
          </w:p>
          <w:p w14:paraId="2A8E5C73">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第三十一条  违反本办法规定，建设单位、施工单位未按照规定采取扬尘污染防治措施的，由相关行政主管部门按照各自职责责令限期改正，处200元以上2000元以下罚款；情节严重的，处2000元以上2万元以下罚款；逾期不改正的，可以责令其停工整顿。</w:t>
            </w:r>
          </w:p>
        </w:tc>
        <w:tc>
          <w:tcPr>
            <w:tcW w:w="992" w:type="dxa"/>
            <w:vMerge w:val="continue"/>
            <w:vAlign w:val="center"/>
          </w:tcPr>
          <w:p w14:paraId="56A4B290">
            <w:pPr>
              <w:widowControl/>
              <w:autoSpaceDE w:val="0"/>
              <w:autoSpaceDN w:val="0"/>
              <w:spacing w:line="280" w:lineRule="exact"/>
              <w:jc w:val="left"/>
              <w:rPr>
                <w:rFonts w:ascii="Times New Roman" w:hAnsi="Times New Roman" w:eastAsia="仿宋_GB2312" w:cs="方正仿宋_GBK"/>
                <w:color w:val="auto"/>
                <w:szCs w:val="21"/>
              </w:rPr>
            </w:pPr>
          </w:p>
        </w:tc>
        <w:tc>
          <w:tcPr>
            <w:tcW w:w="1139" w:type="dxa"/>
            <w:vMerge w:val="continue"/>
            <w:vAlign w:val="center"/>
          </w:tcPr>
          <w:p w14:paraId="3516CB8D">
            <w:pPr>
              <w:widowControl/>
              <w:autoSpaceDE w:val="0"/>
              <w:autoSpaceDN w:val="0"/>
              <w:spacing w:line="280" w:lineRule="exact"/>
              <w:jc w:val="left"/>
              <w:rPr>
                <w:rFonts w:ascii="Times New Roman" w:hAnsi="Times New Roman" w:eastAsia="仿宋_GB2312" w:cs="方正仿宋_GBK"/>
                <w:color w:val="auto"/>
                <w:szCs w:val="21"/>
              </w:rPr>
            </w:pPr>
          </w:p>
        </w:tc>
        <w:tc>
          <w:tcPr>
            <w:tcW w:w="1491" w:type="dxa"/>
            <w:vAlign w:val="center"/>
          </w:tcPr>
          <w:p w14:paraId="27C02A32">
            <w:pPr>
              <w:widowControl/>
              <w:autoSpaceDE w:val="0"/>
              <w:autoSpaceDN w:val="0"/>
              <w:spacing w:line="280" w:lineRule="exact"/>
              <w:jc w:val="left"/>
              <w:rPr>
                <w:rFonts w:ascii="Times New Roman" w:hAnsi="Times New Roman" w:eastAsia="仿宋_GB2312" w:cs="方正仿宋_GBK"/>
                <w:color w:val="auto"/>
                <w:sz w:val="20"/>
                <w:szCs w:val="21"/>
              </w:rPr>
            </w:pPr>
            <w:r>
              <w:rPr>
                <w:rFonts w:hint="eastAsia" w:ascii="Times New Roman" w:hAnsi="Times New Roman" w:eastAsia="仿宋_GB2312" w:cs="方正仿宋_GBK"/>
                <w:color w:val="auto"/>
                <w:sz w:val="20"/>
                <w:szCs w:val="21"/>
              </w:rPr>
              <w:t>3202SZ109000</w:t>
            </w:r>
          </w:p>
        </w:tc>
        <w:tc>
          <w:tcPr>
            <w:tcW w:w="1481" w:type="dxa"/>
            <w:vAlign w:val="center"/>
          </w:tcPr>
          <w:p w14:paraId="64D5EBB3">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对建设单位、施工单位未按照规定采取扬尘污染防治措施的处罚</w:t>
            </w:r>
          </w:p>
        </w:tc>
        <w:tc>
          <w:tcPr>
            <w:tcW w:w="622" w:type="dxa"/>
            <w:vAlign w:val="center"/>
          </w:tcPr>
          <w:p w14:paraId="5F7F5E12">
            <w:pPr>
              <w:widowControl/>
              <w:autoSpaceDE w:val="0"/>
              <w:autoSpaceDN w:val="0"/>
              <w:spacing w:line="280" w:lineRule="exact"/>
              <w:jc w:val="left"/>
              <w:rPr>
                <w:rFonts w:ascii="Times New Roman" w:hAnsi="Times New Roman" w:eastAsia="仿宋_GB2312" w:cs="方正仿宋_GBK"/>
                <w:color w:val="auto"/>
                <w:szCs w:val="21"/>
              </w:rPr>
            </w:pPr>
          </w:p>
        </w:tc>
      </w:tr>
      <w:tr w14:paraId="241456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6" w:type="dxa"/>
            <w:vMerge w:val="continue"/>
            <w:vAlign w:val="center"/>
          </w:tcPr>
          <w:p w14:paraId="6AC5D1B5">
            <w:pPr>
              <w:widowControl/>
              <w:autoSpaceDE w:val="0"/>
              <w:autoSpaceDN w:val="0"/>
              <w:spacing w:line="280" w:lineRule="exact"/>
              <w:jc w:val="left"/>
              <w:rPr>
                <w:rFonts w:ascii="Times New Roman" w:hAnsi="Times New Roman" w:eastAsia="仿宋_GB2312" w:cs="方正仿宋_GBK"/>
                <w:color w:val="auto"/>
                <w:szCs w:val="21"/>
              </w:rPr>
            </w:pPr>
          </w:p>
        </w:tc>
        <w:tc>
          <w:tcPr>
            <w:tcW w:w="1324" w:type="dxa"/>
            <w:vMerge w:val="continue"/>
            <w:vAlign w:val="center"/>
          </w:tcPr>
          <w:p w14:paraId="62CBBB11">
            <w:pPr>
              <w:widowControl/>
              <w:autoSpaceDE w:val="0"/>
              <w:autoSpaceDN w:val="0"/>
              <w:spacing w:line="280" w:lineRule="exact"/>
              <w:jc w:val="left"/>
              <w:rPr>
                <w:rFonts w:ascii="Times New Roman" w:hAnsi="Times New Roman" w:eastAsia="仿宋_GB2312" w:cs="方正仿宋_GBK"/>
                <w:color w:val="auto"/>
                <w:szCs w:val="21"/>
              </w:rPr>
            </w:pPr>
          </w:p>
        </w:tc>
        <w:tc>
          <w:tcPr>
            <w:tcW w:w="794" w:type="dxa"/>
            <w:vMerge w:val="continue"/>
            <w:vAlign w:val="center"/>
          </w:tcPr>
          <w:p w14:paraId="66EB1427">
            <w:pPr>
              <w:widowControl/>
              <w:autoSpaceDE w:val="0"/>
              <w:autoSpaceDN w:val="0"/>
              <w:spacing w:line="280" w:lineRule="exact"/>
              <w:jc w:val="left"/>
              <w:rPr>
                <w:rFonts w:ascii="Times New Roman" w:hAnsi="Times New Roman" w:eastAsia="仿宋_GB2312" w:cs="方正仿宋_GBK"/>
                <w:color w:val="auto"/>
                <w:szCs w:val="21"/>
              </w:rPr>
            </w:pPr>
          </w:p>
        </w:tc>
        <w:tc>
          <w:tcPr>
            <w:tcW w:w="872" w:type="dxa"/>
            <w:vMerge w:val="continue"/>
            <w:vAlign w:val="center"/>
          </w:tcPr>
          <w:p w14:paraId="303223C8">
            <w:pPr>
              <w:widowControl/>
              <w:autoSpaceDE w:val="0"/>
              <w:autoSpaceDN w:val="0"/>
              <w:spacing w:line="280" w:lineRule="exact"/>
              <w:jc w:val="left"/>
              <w:rPr>
                <w:rFonts w:ascii="Times New Roman" w:hAnsi="Times New Roman" w:eastAsia="仿宋_GB2312" w:cs="方正仿宋_GBK"/>
                <w:color w:val="auto"/>
                <w:szCs w:val="21"/>
              </w:rPr>
            </w:pPr>
          </w:p>
        </w:tc>
        <w:tc>
          <w:tcPr>
            <w:tcW w:w="869" w:type="dxa"/>
            <w:vAlign w:val="center"/>
          </w:tcPr>
          <w:p w14:paraId="7E863C29">
            <w:pPr>
              <w:widowControl/>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建设</w:t>
            </w:r>
          </w:p>
          <w:p w14:paraId="2AF2B538">
            <w:pPr>
              <w:widowControl/>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单位</w:t>
            </w:r>
          </w:p>
        </w:tc>
        <w:tc>
          <w:tcPr>
            <w:tcW w:w="4962" w:type="dxa"/>
            <w:vAlign w:val="center"/>
          </w:tcPr>
          <w:p w14:paraId="412435C4">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【政府规章】《苏州市扬尘污染防治管理办法》</w:t>
            </w:r>
          </w:p>
          <w:p w14:paraId="4B04CE1E">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 xml:space="preserve">    第四条  住房和城乡建设行政主管部门负责房屋建筑工程、市政基础设施工程和房屋拆除工程施工扬尘污染防治的监督和管理工作。</w:t>
            </w:r>
          </w:p>
          <w:p w14:paraId="452E1EE7">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 xml:space="preserve">    第三十条  违反本办法规定，建设单位未按照规定报送扬尘污染防治方案的，由相关行政主管部门按照各自职责责令限期改正，并可以处2000元以上1万元以下罚款。</w:t>
            </w:r>
          </w:p>
        </w:tc>
        <w:tc>
          <w:tcPr>
            <w:tcW w:w="992" w:type="dxa"/>
            <w:vMerge w:val="continue"/>
            <w:vAlign w:val="center"/>
          </w:tcPr>
          <w:p w14:paraId="35A6EDC7">
            <w:pPr>
              <w:widowControl/>
              <w:autoSpaceDE w:val="0"/>
              <w:autoSpaceDN w:val="0"/>
              <w:spacing w:line="280" w:lineRule="exact"/>
              <w:jc w:val="left"/>
              <w:rPr>
                <w:rFonts w:ascii="Times New Roman" w:hAnsi="Times New Roman" w:eastAsia="仿宋_GB2312" w:cs="方正仿宋_GBK"/>
                <w:color w:val="auto"/>
                <w:szCs w:val="21"/>
              </w:rPr>
            </w:pPr>
          </w:p>
        </w:tc>
        <w:tc>
          <w:tcPr>
            <w:tcW w:w="1139" w:type="dxa"/>
            <w:vMerge w:val="continue"/>
            <w:vAlign w:val="center"/>
          </w:tcPr>
          <w:p w14:paraId="7B2C2833">
            <w:pPr>
              <w:widowControl/>
              <w:autoSpaceDE w:val="0"/>
              <w:autoSpaceDN w:val="0"/>
              <w:spacing w:line="280" w:lineRule="exact"/>
              <w:jc w:val="left"/>
              <w:rPr>
                <w:rFonts w:ascii="Times New Roman" w:hAnsi="Times New Roman" w:eastAsia="仿宋_GB2312" w:cs="方正仿宋_GBK"/>
                <w:color w:val="auto"/>
                <w:szCs w:val="21"/>
              </w:rPr>
            </w:pPr>
          </w:p>
        </w:tc>
        <w:tc>
          <w:tcPr>
            <w:tcW w:w="1491" w:type="dxa"/>
            <w:vAlign w:val="center"/>
          </w:tcPr>
          <w:p w14:paraId="5CEF51CC">
            <w:pPr>
              <w:widowControl/>
              <w:autoSpaceDE w:val="0"/>
              <w:autoSpaceDN w:val="0"/>
              <w:spacing w:line="280" w:lineRule="exact"/>
              <w:jc w:val="left"/>
              <w:rPr>
                <w:rFonts w:ascii="Times New Roman" w:hAnsi="Times New Roman" w:eastAsia="仿宋_GB2312" w:cs="方正仿宋_GBK"/>
                <w:color w:val="auto"/>
                <w:sz w:val="20"/>
                <w:szCs w:val="21"/>
              </w:rPr>
            </w:pPr>
            <w:r>
              <w:rPr>
                <w:rFonts w:hint="eastAsia" w:ascii="Times New Roman" w:hAnsi="Times New Roman" w:eastAsia="仿宋_GB2312" w:cs="方正仿宋_GBK"/>
                <w:color w:val="auto"/>
                <w:sz w:val="20"/>
                <w:szCs w:val="21"/>
              </w:rPr>
              <w:t>3202SZ108000</w:t>
            </w:r>
          </w:p>
        </w:tc>
        <w:tc>
          <w:tcPr>
            <w:tcW w:w="1481" w:type="dxa"/>
            <w:vAlign w:val="center"/>
          </w:tcPr>
          <w:p w14:paraId="1D80EC74">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对建设单位未按照规定报送扬尘污染防治方案的处罚</w:t>
            </w:r>
          </w:p>
        </w:tc>
        <w:tc>
          <w:tcPr>
            <w:tcW w:w="622" w:type="dxa"/>
            <w:vAlign w:val="center"/>
          </w:tcPr>
          <w:p w14:paraId="0BDBE582">
            <w:pPr>
              <w:widowControl/>
              <w:autoSpaceDE w:val="0"/>
              <w:autoSpaceDN w:val="0"/>
              <w:spacing w:line="280" w:lineRule="exact"/>
              <w:jc w:val="left"/>
              <w:rPr>
                <w:rFonts w:ascii="Times New Roman" w:hAnsi="Times New Roman" w:eastAsia="仿宋_GB2312" w:cs="方正仿宋_GBK"/>
                <w:color w:val="auto"/>
                <w:szCs w:val="21"/>
              </w:rPr>
            </w:pPr>
          </w:p>
        </w:tc>
      </w:tr>
      <w:tr w14:paraId="172086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7" w:hRule="atLeast"/>
          <w:jc w:val="center"/>
        </w:trPr>
        <w:tc>
          <w:tcPr>
            <w:tcW w:w="536" w:type="dxa"/>
            <w:vMerge w:val="restart"/>
            <w:vAlign w:val="center"/>
          </w:tcPr>
          <w:p w14:paraId="0FDAA8AA">
            <w:pPr>
              <w:autoSpaceDE w:val="0"/>
              <w:autoSpaceDN w:val="0"/>
              <w:spacing w:line="280" w:lineRule="exact"/>
              <w:jc w:val="center"/>
              <w:rPr>
                <w:rFonts w:hint="default" w:ascii="Times New Roman" w:hAnsi="Times New Roman" w:eastAsia="仿宋_GB2312" w:cs="方正仿宋_GBK"/>
                <w:color w:val="auto"/>
                <w:szCs w:val="21"/>
                <w:lang w:val="en-US" w:eastAsia="zh-CN"/>
              </w:rPr>
            </w:pPr>
            <w:r>
              <w:rPr>
                <w:rFonts w:hint="eastAsia" w:ascii="Times New Roman" w:hAnsi="Times New Roman" w:eastAsia="仿宋_GB2312" w:cs="方正仿宋_GBK"/>
                <w:color w:val="auto"/>
                <w:szCs w:val="21"/>
                <w:lang w:val="en-US" w:eastAsia="zh-CN"/>
              </w:rPr>
              <w:t>15</w:t>
            </w:r>
          </w:p>
        </w:tc>
        <w:tc>
          <w:tcPr>
            <w:tcW w:w="1324" w:type="dxa"/>
            <w:vMerge w:val="restart"/>
            <w:vAlign w:val="center"/>
          </w:tcPr>
          <w:p w14:paraId="3FCE0512">
            <w:pPr>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对房屋市政工程质量、安全及文明施工情况的行政检查</w:t>
            </w:r>
          </w:p>
        </w:tc>
        <w:tc>
          <w:tcPr>
            <w:tcW w:w="794" w:type="dxa"/>
            <w:vMerge w:val="restart"/>
            <w:vAlign w:val="center"/>
          </w:tcPr>
          <w:p w14:paraId="6F15A8F6">
            <w:pPr>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苏州市相城区住房和城乡建设局</w:t>
            </w:r>
          </w:p>
        </w:tc>
        <w:tc>
          <w:tcPr>
            <w:tcW w:w="872" w:type="dxa"/>
            <w:vMerge w:val="restart"/>
            <w:vAlign w:val="center"/>
          </w:tcPr>
          <w:p w14:paraId="3980045F">
            <w:pPr>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相城区建设工程质量安全监督中心</w:t>
            </w:r>
          </w:p>
        </w:tc>
        <w:tc>
          <w:tcPr>
            <w:tcW w:w="869" w:type="dxa"/>
            <w:vAlign w:val="center"/>
          </w:tcPr>
          <w:p w14:paraId="70070539">
            <w:pPr>
              <w:widowControl/>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监理</w:t>
            </w:r>
          </w:p>
          <w:p w14:paraId="59042972">
            <w:pPr>
              <w:widowControl/>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单位</w:t>
            </w:r>
          </w:p>
        </w:tc>
        <w:tc>
          <w:tcPr>
            <w:tcW w:w="4962" w:type="dxa"/>
            <w:vAlign w:val="center"/>
          </w:tcPr>
          <w:p w14:paraId="0A5C6D4D">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【政府规章】《苏州市建设工程质量管理办法》</w:t>
            </w:r>
          </w:p>
          <w:p w14:paraId="59CDEC08">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第四条  市建设行政主管部门负责对本市行政区域内的建设工程质量实施统一监督管理，并具体负责平江区、沧浪区、金阊区行政区域内的建设工程质量的监督管理。县级市、吴中区、相城区、苏州工业园区、苏州高新（虎丘）区建设行政主管部门负责本行政区域内的建设工程质量的监督管理。</w:t>
            </w:r>
          </w:p>
          <w:p w14:paraId="51AEEBA1">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第四十八条  监理单位违反本办法规定，在建设工程竣工后，未如实出具工程质量评估报告的，由建设行政主管部门责令改正，并可处以2万元以上3万元以下罚款。</w:t>
            </w:r>
          </w:p>
        </w:tc>
        <w:tc>
          <w:tcPr>
            <w:tcW w:w="992" w:type="dxa"/>
            <w:vMerge w:val="restart"/>
            <w:vAlign w:val="center"/>
          </w:tcPr>
          <w:p w14:paraId="38E60ECC">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现场检查、书面检查</w:t>
            </w:r>
          </w:p>
        </w:tc>
        <w:tc>
          <w:tcPr>
            <w:tcW w:w="1139" w:type="dxa"/>
            <w:vMerge w:val="restart"/>
            <w:vAlign w:val="center"/>
          </w:tcPr>
          <w:p w14:paraId="1F99DE59">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双随机+重点检查</w:t>
            </w:r>
          </w:p>
        </w:tc>
        <w:tc>
          <w:tcPr>
            <w:tcW w:w="1491" w:type="dxa"/>
            <w:vAlign w:val="center"/>
          </w:tcPr>
          <w:p w14:paraId="56742C30">
            <w:pPr>
              <w:widowControl/>
              <w:autoSpaceDE w:val="0"/>
              <w:autoSpaceDN w:val="0"/>
              <w:spacing w:line="280" w:lineRule="exact"/>
              <w:jc w:val="left"/>
              <w:rPr>
                <w:rFonts w:ascii="Times New Roman" w:hAnsi="Times New Roman" w:eastAsia="仿宋_GB2312" w:cs="方正仿宋_GBK"/>
                <w:color w:val="auto"/>
                <w:sz w:val="20"/>
                <w:szCs w:val="21"/>
              </w:rPr>
            </w:pPr>
            <w:r>
              <w:rPr>
                <w:rFonts w:hint="eastAsia" w:ascii="Times New Roman" w:hAnsi="Times New Roman" w:eastAsia="仿宋_GB2312" w:cs="方正仿宋_GBK"/>
                <w:color w:val="auto"/>
                <w:sz w:val="20"/>
                <w:szCs w:val="21"/>
              </w:rPr>
              <w:t>3202SZ096000</w:t>
            </w:r>
          </w:p>
        </w:tc>
        <w:tc>
          <w:tcPr>
            <w:tcW w:w="1481" w:type="dxa"/>
            <w:vAlign w:val="center"/>
          </w:tcPr>
          <w:p w14:paraId="79F02ED8">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对监理单位在建设工程竣工后，未如实出具工程质量评估报告的处罚</w:t>
            </w:r>
          </w:p>
        </w:tc>
        <w:tc>
          <w:tcPr>
            <w:tcW w:w="622" w:type="dxa"/>
            <w:vAlign w:val="center"/>
          </w:tcPr>
          <w:p w14:paraId="23E445CC">
            <w:pPr>
              <w:widowControl/>
              <w:autoSpaceDE w:val="0"/>
              <w:autoSpaceDN w:val="0"/>
              <w:spacing w:line="280" w:lineRule="exact"/>
              <w:jc w:val="left"/>
              <w:rPr>
                <w:rFonts w:ascii="Times New Roman" w:hAnsi="Times New Roman" w:eastAsia="仿宋_GB2312" w:cs="方正仿宋_GBK"/>
                <w:color w:val="auto"/>
                <w:szCs w:val="21"/>
              </w:rPr>
            </w:pPr>
          </w:p>
        </w:tc>
      </w:tr>
      <w:tr w14:paraId="7F36C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5" w:hRule="atLeast"/>
          <w:jc w:val="center"/>
        </w:trPr>
        <w:tc>
          <w:tcPr>
            <w:tcW w:w="536" w:type="dxa"/>
            <w:vMerge w:val="continue"/>
            <w:vAlign w:val="center"/>
          </w:tcPr>
          <w:p w14:paraId="329531BD">
            <w:pPr>
              <w:widowControl/>
              <w:autoSpaceDE w:val="0"/>
              <w:autoSpaceDN w:val="0"/>
              <w:spacing w:line="280" w:lineRule="exact"/>
              <w:jc w:val="left"/>
              <w:rPr>
                <w:rFonts w:ascii="Times New Roman" w:hAnsi="Times New Roman" w:eastAsia="仿宋_GB2312" w:cs="方正仿宋_GBK"/>
                <w:color w:val="auto"/>
                <w:szCs w:val="21"/>
              </w:rPr>
            </w:pPr>
          </w:p>
        </w:tc>
        <w:tc>
          <w:tcPr>
            <w:tcW w:w="1324" w:type="dxa"/>
            <w:vMerge w:val="continue"/>
            <w:vAlign w:val="center"/>
          </w:tcPr>
          <w:p w14:paraId="68C43113">
            <w:pPr>
              <w:widowControl/>
              <w:autoSpaceDE w:val="0"/>
              <w:autoSpaceDN w:val="0"/>
              <w:spacing w:line="280" w:lineRule="exact"/>
              <w:jc w:val="left"/>
              <w:rPr>
                <w:rFonts w:ascii="Times New Roman" w:hAnsi="Times New Roman" w:eastAsia="仿宋_GB2312" w:cs="方正仿宋_GBK"/>
                <w:color w:val="auto"/>
                <w:szCs w:val="21"/>
              </w:rPr>
            </w:pPr>
          </w:p>
        </w:tc>
        <w:tc>
          <w:tcPr>
            <w:tcW w:w="794" w:type="dxa"/>
            <w:vMerge w:val="continue"/>
            <w:vAlign w:val="center"/>
          </w:tcPr>
          <w:p w14:paraId="484D6DEE">
            <w:pPr>
              <w:widowControl/>
              <w:autoSpaceDE w:val="0"/>
              <w:autoSpaceDN w:val="0"/>
              <w:spacing w:line="280" w:lineRule="exact"/>
              <w:jc w:val="left"/>
              <w:rPr>
                <w:rFonts w:ascii="Times New Roman" w:hAnsi="Times New Roman" w:eastAsia="仿宋_GB2312" w:cs="方正仿宋_GBK"/>
                <w:color w:val="auto"/>
                <w:szCs w:val="21"/>
              </w:rPr>
            </w:pPr>
          </w:p>
        </w:tc>
        <w:tc>
          <w:tcPr>
            <w:tcW w:w="872" w:type="dxa"/>
            <w:vMerge w:val="continue"/>
            <w:vAlign w:val="center"/>
          </w:tcPr>
          <w:p w14:paraId="1E18EAF0">
            <w:pPr>
              <w:widowControl/>
              <w:autoSpaceDE w:val="0"/>
              <w:autoSpaceDN w:val="0"/>
              <w:spacing w:line="280" w:lineRule="exact"/>
              <w:jc w:val="left"/>
              <w:rPr>
                <w:rFonts w:ascii="Times New Roman" w:hAnsi="Times New Roman" w:eastAsia="仿宋_GB2312" w:cs="方正仿宋_GBK"/>
                <w:color w:val="auto"/>
                <w:szCs w:val="21"/>
              </w:rPr>
            </w:pPr>
          </w:p>
        </w:tc>
        <w:tc>
          <w:tcPr>
            <w:tcW w:w="869" w:type="dxa"/>
            <w:vAlign w:val="center"/>
          </w:tcPr>
          <w:p w14:paraId="37E35C4A">
            <w:pPr>
              <w:widowControl/>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施工</w:t>
            </w:r>
          </w:p>
          <w:p w14:paraId="5FC95DDD">
            <w:pPr>
              <w:widowControl/>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单位</w:t>
            </w:r>
          </w:p>
        </w:tc>
        <w:tc>
          <w:tcPr>
            <w:tcW w:w="4962" w:type="dxa"/>
            <w:vAlign w:val="center"/>
          </w:tcPr>
          <w:p w14:paraId="561C247D">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【政府规章】《苏州市建设工程质量管理办法》</w:t>
            </w:r>
          </w:p>
          <w:p w14:paraId="40A003A5">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第四条  市建设行政主管部门负责对本市行政区域内的建设工程质量实施统一监督管理，并具体负责平江区、沧浪区、金阊区行政区域内的建设工程质量的监督管理。县级市、吴中区、相城区、苏州工业园区、苏州高新（虎丘）区建设行政主管部门负责本行政区域内的建设工程质量的监督管理。</w:t>
            </w:r>
          </w:p>
          <w:p w14:paraId="33813EF2">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第四十七条  施工单位未按照规定对建设工程关键部位进行检验或者检验不合格仍进入下道工序施工的，由建设行政主管部门责令限期改正，逾期不改正的，处以1万元以上2万元以下罚款；情节严重的，处以2万元以上3万元以下罚款。</w:t>
            </w:r>
          </w:p>
        </w:tc>
        <w:tc>
          <w:tcPr>
            <w:tcW w:w="992" w:type="dxa"/>
            <w:vMerge w:val="continue"/>
            <w:vAlign w:val="center"/>
          </w:tcPr>
          <w:p w14:paraId="47701978">
            <w:pPr>
              <w:widowControl/>
              <w:autoSpaceDE w:val="0"/>
              <w:autoSpaceDN w:val="0"/>
              <w:spacing w:line="280" w:lineRule="exact"/>
              <w:jc w:val="left"/>
              <w:rPr>
                <w:rFonts w:ascii="Times New Roman" w:hAnsi="Times New Roman" w:eastAsia="仿宋_GB2312" w:cs="方正仿宋_GBK"/>
                <w:color w:val="auto"/>
                <w:szCs w:val="21"/>
              </w:rPr>
            </w:pPr>
          </w:p>
        </w:tc>
        <w:tc>
          <w:tcPr>
            <w:tcW w:w="1139" w:type="dxa"/>
            <w:vMerge w:val="continue"/>
            <w:vAlign w:val="center"/>
          </w:tcPr>
          <w:p w14:paraId="10ACA0C8">
            <w:pPr>
              <w:widowControl/>
              <w:autoSpaceDE w:val="0"/>
              <w:autoSpaceDN w:val="0"/>
              <w:spacing w:line="280" w:lineRule="exact"/>
              <w:jc w:val="left"/>
              <w:rPr>
                <w:rFonts w:ascii="Times New Roman" w:hAnsi="Times New Roman" w:eastAsia="仿宋_GB2312" w:cs="方正仿宋_GBK"/>
                <w:color w:val="auto"/>
                <w:szCs w:val="21"/>
              </w:rPr>
            </w:pPr>
          </w:p>
        </w:tc>
        <w:tc>
          <w:tcPr>
            <w:tcW w:w="1491" w:type="dxa"/>
            <w:vAlign w:val="center"/>
          </w:tcPr>
          <w:p w14:paraId="7345F7FF">
            <w:pPr>
              <w:widowControl/>
              <w:autoSpaceDE w:val="0"/>
              <w:autoSpaceDN w:val="0"/>
              <w:spacing w:line="280" w:lineRule="exact"/>
              <w:jc w:val="left"/>
              <w:rPr>
                <w:rFonts w:ascii="Times New Roman" w:hAnsi="Times New Roman" w:eastAsia="仿宋_GB2312" w:cs="方正仿宋_GBK"/>
                <w:color w:val="auto"/>
                <w:sz w:val="20"/>
                <w:szCs w:val="21"/>
              </w:rPr>
            </w:pPr>
            <w:r>
              <w:rPr>
                <w:rFonts w:hint="eastAsia" w:ascii="Times New Roman" w:hAnsi="Times New Roman" w:eastAsia="仿宋_GB2312" w:cs="方正仿宋_GBK"/>
                <w:color w:val="auto"/>
                <w:sz w:val="20"/>
                <w:szCs w:val="21"/>
              </w:rPr>
              <w:t>3202SZ095000</w:t>
            </w:r>
          </w:p>
        </w:tc>
        <w:tc>
          <w:tcPr>
            <w:tcW w:w="1481" w:type="dxa"/>
            <w:vAlign w:val="center"/>
          </w:tcPr>
          <w:p w14:paraId="52579631">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对施工单位未按照规定对建设工程关键部位进行检验或者检验不合格仍进入下道工序施工的处罚</w:t>
            </w:r>
          </w:p>
        </w:tc>
        <w:tc>
          <w:tcPr>
            <w:tcW w:w="622" w:type="dxa"/>
            <w:vAlign w:val="center"/>
          </w:tcPr>
          <w:p w14:paraId="126C4EFE">
            <w:pPr>
              <w:widowControl/>
              <w:autoSpaceDE w:val="0"/>
              <w:autoSpaceDN w:val="0"/>
              <w:spacing w:line="280" w:lineRule="exact"/>
              <w:jc w:val="left"/>
              <w:rPr>
                <w:rFonts w:ascii="Times New Roman" w:hAnsi="Times New Roman" w:eastAsia="仿宋_GB2312" w:cs="方正仿宋_GBK"/>
                <w:color w:val="auto"/>
                <w:szCs w:val="21"/>
              </w:rPr>
            </w:pPr>
          </w:p>
        </w:tc>
      </w:tr>
      <w:tr w14:paraId="0452F6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1" w:hRule="atLeast"/>
          <w:jc w:val="center"/>
        </w:trPr>
        <w:tc>
          <w:tcPr>
            <w:tcW w:w="536" w:type="dxa"/>
            <w:vMerge w:val="restart"/>
            <w:vAlign w:val="center"/>
          </w:tcPr>
          <w:p w14:paraId="250D49A1">
            <w:pPr>
              <w:autoSpaceDE w:val="0"/>
              <w:autoSpaceDN w:val="0"/>
              <w:spacing w:line="280" w:lineRule="exact"/>
              <w:jc w:val="center"/>
              <w:rPr>
                <w:rFonts w:hint="default" w:ascii="Times New Roman" w:hAnsi="Times New Roman" w:eastAsia="仿宋_GB2312" w:cs="方正仿宋_GBK"/>
                <w:color w:val="auto"/>
                <w:szCs w:val="21"/>
                <w:lang w:val="en-US" w:eastAsia="zh-CN"/>
              </w:rPr>
            </w:pPr>
            <w:r>
              <w:rPr>
                <w:rFonts w:hint="eastAsia" w:ascii="Times New Roman" w:hAnsi="Times New Roman" w:eastAsia="仿宋_GB2312" w:cs="方正仿宋_GBK"/>
                <w:color w:val="auto"/>
                <w:szCs w:val="21"/>
                <w:lang w:val="en-US" w:eastAsia="zh-CN"/>
              </w:rPr>
              <w:t>15</w:t>
            </w:r>
          </w:p>
        </w:tc>
        <w:tc>
          <w:tcPr>
            <w:tcW w:w="1324" w:type="dxa"/>
            <w:vMerge w:val="restart"/>
            <w:vAlign w:val="center"/>
          </w:tcPr>
          <w:p w14:paraId="3B803450">
            <w:pPr>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对房屋市政工程质量、安全及文明施工情况的行政检查</w:t>
            </w:r>
          </w:p>
        </w:tc>
        <w:tc>
          <w:tcPr>
            <w:tcW w:w="794" w:type="dxa"/>
            <w:vMerge w:val="restart"/>
            <w:vAlign w:val="center"/>
          </w:tcPr>
          <w:p w14:paraId="64A9CB03">
            <w:pPr>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苏州市相城区住房和城乡建设局</w:t>
            </w:r>
          </w:p>
        </w:tc>
        <w:tc>
          <w:tcPr>
            <w:tcW w:w="872" w:type="dxa"/>
            <w:vMerge w:val="restart"/>
            <w:vAlign w:val="center"/>
          </w:tcPr>
          <w:p w14:paraId="72C91509">
            <w:pPr>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相城区建设工程质量安全监督中心</w:t>
            </w:r>
          </w:p>
        </w:tc>
        <w:tc>
          <w:tcPr>
            <w:tcW w:w="869" w:type="dxa"/>
            <w:vAlign w:val="center"/>
          </w:tcPr>
          <w:p w14:paraId="0683CD05">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勘察、设计单位</w:t>
            </w:r>
          </w:p>
        </w:tc>
        <w:tc>
          <w:tcPr>
            <w:tcW w:w="4962" w:type="dxa"/>
            <w:vAlign w:val="center"/>
          </w:tcPr>
          <w:p w14:paraId="5F61D2DD">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【政府规章】《苏州市建设工程质量管理办法》</w:t>
            </w:r>
          </w:p>
          <w:p w14:paraId="3C6EFCB9">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第四条  市建设行政主管部门负责对本市行政区域内的建设工程质量实施统一监督管理，并具体负责平江区、沧浪区、金阊区行政区域内的建设工程质量的监督管理。县级市、吴中区、相城区、苏州工业园区、苏州高新（虎丘）区建设行政主管部门负责本行政区域内的建设工程质量的监督管理。</w:t>
            </w:r>
          </w:p>
          <w:p w14:paraId="1ADF96BF">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第四十六条  勘察、设计单位违反本办法规定，未按照有关规定参加工程相关阶段的验收或者参加验收未如实出具验收意见的，由建设行政主管部门责令改正，并可处以1万元以上2万元以下罚款。</w:t>
            </w:r>
          </w:p>
        </w:tc>
        <w:tc>
          <w:tcPr>
            <w:tcW w:w="992" w:type="dxa"/>
            <w:vMerge w:val="restart"/>
            <w:vAlign w:val="center"/>
          </w:tcPr>
          <w:p w14:paraId="3066EE1B">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现场检查、书面检查</w:t>
            </w:r>
          </w:p>
        </w:tc>
        <w:tc>
          <w:tcPr>
            <w:tcW w:w="1139" w:type="dxa"/>
            <w:vMerge w:val="restart"/>
            <w:vAlign w:val="center"/>
          </w:tcPr>
          <w:p w14:paraId="536B7D76">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双随机+重点检查</w:t>
            </w:r>
          </w:p>
        </w:tc>
        <w:tc>
          <w:tcPr>
            <w:tcW w:w="1491" w:type="dxa"/>
            <w:vAlign w:val="center"/>
          </w:tcPr>
          <w:p w14:paraId="42DBFF89">
            <w:pPr>
              <w:widowControl/>
              <w:autoSpaceDE w:val="0"/>
              <w:autoSpaceDN w:val="0"/>
              <w:spacing w:line="280" w:lineRule="exact"/>
              <w:jc w:val="left"/>
              <w:rPr>
                <w:rFonts w:ascii="Times New Roman" w:hAnsi="Times New Roman" w:eastAsia="仿宋_GB2312" w:cs="方正仿宋_GBK"/>
                <w:color w:val="auto"/>
                <w:sz w:val="20"/>
                <w:szCs w:val="21"/>
              </w:rPr>
            </w:pPr>
            <w:r>
              <w:rPr>
                <w:rFonts w:hint="eastAsia" w:ascii="Times New Roman" w:hAnsi="Times New Roman" w:eastAsia="仿宋_GB2312" w:cs="方正仿宋_GBK"/>
                <w:color w:val="auto"/>
                <w:sz w:val="20"/>
                <w:szCs w:val="21"/>
              </w:rPr>
              <w:t>3202SZ094000</w:t>
            </w:r>
          </w:p>
        </w:tc>
        <w:tc>
          <w:tcPr>
            <w:tcW w:w="1481" w:type="dxa"/>
            <w:vAlign w:val="center"/>
          </w:tcPr>
          <w:p w14:paraId="30E16417">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对勘察、设计单位未按照有关规定参加工程相关阶段的验收或者参加验收未如实出具验收意见的处罚</w:t>
            </w:r>
          </w:p>
        </w:tc>
        <w:tc>
          <w:tcPr>
            <w:tcW w:w="622" w:type="dxa"/>
            <w:vAlign w:val="center"/>
          </w:tcPr>
          <w:p w14:paraId="314B9F95">
            <w:pPr>
              <w:widowControl/>
              <w:autoSpaceDE w:val="0"/>
              <w:autoSpaceDN w:val="0"/>
              <w:spacing w:line="280" w:lineRule="exact"/>
              <w:jc w:val="left"/>
              <w:rPr>
                <w:rFonts w:ascii="Times New Roman" w:hAnsi="Times New Roman" w:eastAsia="仿宋_GB2312" w:cs="方正仿宋_GBK"/>
                <w:color w:val="auto"/>
                <w:szCs w:val="21"/>
              </w:rPr>
            </w:pPr>
          </w:p>
        </w:tc>
      </w:tr>
      <w:tr w14:paraId="08129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0" w:hRule="atLeast"/>
          <w:jc w:val="center"/>
        </w:trPr>
        <w:tc>
          <w:tcPr>
            <w:tcW w:w="536" w:type="dxa"/>
            <w:vMerge w:val="continue"/>
            <w:vAlign w:val="center"/>
          </w:tcPr>
          <w:p w14:paraId="23E548B5">
            <w:pPr>
              <w:widowControl/>
              <w:autoSpaceDE w:val="0"/>
              <w:autoSpaceDN w:val="0"/>
              <w:spacing w:line="280" w:lineRule="exact"/>
              <w:jc w:val="left"/>
              <w:rPr>
                <w:rFonts w:ascii="Times New Roman" w:hAnsi="Times New Roman" w:eastAsia="仿宋_GB2312" w:cs="方正仿宋_GBK"/>
                <w:color w:val="auto"/>
                <w:szCs w:val="21"/>
              </w:rPr>
            </w:pPr>
          </w:p>
        </w:tc>
        <w:tc>
          <w:tcPr>
            <w:tcW w:w="1324" w:type="dxa"/>
            <w:vMerge w:val="continue"/>
            <w:vAlign w:val="center"/>
          </w:tcPr>
          <w:p w14:paraId="7AF15CA5">
            <w:pPr>
              <w:widowControl/>
              <w:autoSpaceDE w:val="0"/>
              <w:autoSpaceDN w:val="0"/>
              <w:spacing w:line="280" w:lineRule="exact"/>
              <w:jc w:val="left"/>
              <w:rPr>
                <w:rFonts w:ascii="Times New Roman" w:hAnsi="Times New Roman" w:eastAsia="仿宋_GB2312" w:cs="方正仿宋_GBK"/>
                <w:color w:val="auto"/>
                <w:szCs w:val="21"/>
              </w:rPr>
            </w:pPr>
          </w:p>
        </w:tc>
        <w:tc>
          <w:tcPr>
            <w:tcW w:w="794" w:type="dxa"/>
            <w:vMerge w:val="continue"/>
            <w:vAlign w:val="center"/>
          </w:tcPr>
          <w:p w14:paraId="7AC95BBF">
            <w:pPr>
              <w:widowControl/>
              <w:autoSpaceDE w:val="0"/>
              <w:autoSpaceDN w:val="0"/>
              <w:spacing w:line="280" w:lineRule="exact"/>
              <w:jc w:val="left"/>
              <w:rPr>
                <w:rFonts w:ascii="Times New Roman" w:hAnsi="Times New Roman" w:eastAsia="仿宋_GB2312" w:cs="方正仿宋_GBK"/>
                <w:color w:val="auto"/>
                <w:szCs w:val="21"/>
              </w:rPr>
            </w:pPr>
          </w:p>
        </w:tc>
        <w:tc>
          <w:tcPr>
            <w:tcW w:w="872" w:type="dxa"/>
            <w:vMerge w:val="continue"/>
            <w:vAlign w:val="center"/>
          </w:tcPr>
          <w:p w14:paraId="3CD23FB5">
            <w:pPr>
              <w:widowControl/>
              <w:autoSpaceDE w:val="0"/>
              <w:autoSpaceDN w:val="0"/>
              <w:spacing w:line="280" w:lineRule="exact"/>
              <w:jc w:val="left"/>
              <w:rPr>
                <w:rFonts w:ascii="Times New Roman" w:hAnsi="Times New Roman" w:eastAsia="仿宋_GB2312" w:cs="方正仿宋_GBK"/>
                <w:color w:val="auto"/>
                <w:szCs w:val="21"/>
              </w:rPr>
            </w:pPr>
          </w:p>
        </w:tc>
        <w:tc>
          <w:tcPr>
            <w:tcW w:w="869" w:type="dxa"/>
            <w:vAlign w:val="center"/>
          </w:tcPr>
          <w:p w14:paraId="523E1291">
            <w:pPr>
              <w:widowControl/>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建设</w:t>
            </w:r>
          </w:p>
          <w:p w14:paraId="69CE2E70">
            <w:pPr>
              <w:widowControl/>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单位</w:t>
            </w:r>
          </w:p>
        </w:tc>
        <w:tc>
          <w:tcPr>
            <w:tcW w:w="4962" w:type="dxa"/>
            <w:vAlign w:val="center"/>
          </w:tcPr>
          <w:p w14:paraId="18E3B512">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【政府规章】《苏州市建设工程质量管理办法》</w:t>
            </w:r>
          </w:p>
          <w:p w14:paraId="17A870CD">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第四条  市建设行政主管部门负责对本市行政区域内的建设工程质量实施统一监督管理，并具体负责平江区、沧浪区、金阊区行政区域内的建设工程质量的监督管理。县级市、吴中区、相城区、苏州工业园区、苏州高新（虎丘）区建设行政主管部门负责本行政区域内的建设工程质量的监督管理。</w:t>
            </w:r>
          </w:p>
          <w:p w14:paraId="124AE1B1">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第四十五条第三项  建设单位违反本办法规定，有下列行为之一的，由建设行政主管部门责令限期改正，逾期不改正的，处以1万元以上2万元以下罚款；情节严重的，处以2万元以上3万元以下罚款：</w:t>
            </w:r>
          </w:p>
          <w:p w14:paraId="75F6DAD1">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（三）施工图设计文件修改涉及公共利益、结构安全或者工程建设标准强制性条文的，未按照规定送施工图审查机构重新审查合格即开工的。</w:t>
            </w:r>
          </w:p>
        </w:tc>
        <w:tc>
          <w:tcPr>
            <w:tcW w:w="992" w:type="dxa"/>
            <w:vMerge w:val="continue"/>
            <w:vAlign w:val="center"/>
          </w:tcPr>
          <w:p w14:paraId="1520316B">
            <w:pPr>
              <w:widowControl/>
              <w:autoSpaceDE w:val="0"/>
              <w:autoSpaceDN w:val="0"/>
              <w:spacing w:line="280" w:lineRule="exact"/>
              <w:jc w:val="left"/>
              <w:rPr>
                <w:rFonts w:ascii="Times New Roman" w:hAnsi="Times New Roman" w:eastAsia="仿宋_GB2312" w:cs="方正仿宋_GBK"/>
                <w:color w:val="auto"/>
                <w:szCs w:val="21"/>
              </w:rPr>
            </w:pPr>
          </w:p>
        </w:tc>
        <w:tc>
          <w:tcPr>
            <w:tcW w:w="1139" w:type="dxa"/>
            <w:vMerge w:val="continue"/>
            <w:vAlign w:val="center"/>
          </w:tcPr>
          <w:p w14:paraId="4E0D51D2">
            <w:pPr>
              <w:widowControl/>
              <w:autoSpaceDE w:val="0"/>
              <w:autoSpaceDN w:val="0"/>
              <w:spacing w:line="280" w:lineRule="exact"/>
              <w:jc w:val="left"/>
              <w:rPr>
                <w:rFonts w:ascii="Times New Roman" w:hAnsi="Times New Roman" w:eastAsia="仿宋_GB2312" w:cs="方正仿宋_GBK"/>
                <w:color w:val="auto"/>
                <w:szCs w:val="21"/>
              </w:rPr>
            </w:pPr>
          </w:p>
        </w:tc>
        <w:tc>
          <w:tcPr>
            <w:tcW w:w="1491" w:type="dxa"/>
            <w:vAlign w:val="center"/>
          </w:tcPr>
          <w:p w14:paraId="353906E2">
            <w:pPr>
              <w:widowControl/>
              <w:autoSpaceDE w:val="0"/>
              <w:autoSpaceDN w:val="0"/>
              <w:spacing w:line="280" w:lineRule="exact"/>
              <w:jc w:val="left"/>
              <w:rPr>
                <w:rFonts w:ascii="Times New Roman" w:hAnsi="Times New Roman" w:eastAsia="仿宋_GB2312" w:cs="方正仿宋_GBK"/>
                <w:color w:val="auto"/>
                <w:sz w:val="20"/>
                <w:szCs w:val="21"/>
              </w:rPr>
            </w:pPr>
            <w:r>
              <w:rPr>
                <w:rFonts w:hint="eastAsia" w:ascii="Times New Roman" w:hAnsi="Times New Roman" w:eastAsia="仿宋_GB2312" w:cs="方正仿宋_GBK"/>
                <w:color w:val="auto"/>
                <w:sz w:val="20"/>
                <w:szCs w:val="21"/>
              </w:rPr>
              <w:t>3202SZ093000</w:t>
            </w:r>
          </w:p>
        </w:tc>
        <w:tc>
          <w:tcPr>
            <w:tcW w:w="1481" w:type="dxa"/>
            <w:vAlign w:val="center"/>
          </w:tcPr>
          <w:p w14:paraId="6B382491">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对建设单位施工图设计文件修改涉及公共利益、结构安全或者工程建设标准强制性条文的，未按照规定送施工图审查机构重新审查合格即开工的处罚</w:t>
            </w:r>
          </w:p>
        </w:tc>
        <w:tc>
          <w:tcPr>
            <w:tcW w:w="622" w:type="dxa"/>
            <w:vAlign w:val="center"/>
          </w:tcPr>
          <w:p w14:paraId="40A8120A">
            <w:pPr>
              <w:widowControl/>
              <w:autoSpaceDE w:val="0"/>
              <w:autoSpaceDN w:val="0"/>
              <w:spacing w:line="280" w:lineRule="exact"/>
              <w:jc w:val="left"/>
              <w:rPr>
                <w:rFonts w:ascii="Times New Roman" w:hAnsi="Times New Roman" w:eastAsia="仿宋_GB2312" w:cs="方正仿宋_GBK"/>
                <w:color w:val="auto"/>
                <w:szCs w:val="21"/>
              </w:rPr>
            </w:pPr>
          </w:p>
        </w:tc>
      </w:tr>
      <w:tr w14:paraId="24CE1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4" w:hRule="atLeast"/>
          <w:jc w:val="center"/>
        </w:trPr>
        <w:tc>
          <w:tcPr>
            <w:tcW w:w="536" w:type="dxa"/>
            <w:vMerge w:val="restart"/>
            <w:vAlign w:val="center"/>
          </w:tcPr>
          <w:p w14:paraId="7D866627">
            <w:pPr>
              <w:autoSpaceDE w:val="0"/>
              <w:autoSpaceDN w:val="0"/>
              <w:spacing w:line="280" w:lineRule="exact"/>
              <w:jc w:val="center"/>
              <w:rPr>
                <w:rFonts w:hint="default" w:ascii="Times New Roman" w:hAnsi="Times New Roman" w:eastAsia="仿宋_GB2312" w:cs="方正仿宋_GBK"/>
                <w:color w:val="auto"/>
                <w:szCs w:val="21"/>
                <w:lang w:val="en-US" w:eastAsia="zh-CN"/>
              </w:rPr>
            </w:pPr>
            <w:r>
              <w:rPr>
                <w:rFonts w:hint="eastAsia" w:ascii="Times New Roman" w:hAnsi="Times New Roman" w:eastAsia="仿宋_GB2312" w:cs="方正仿宋_GBK"/>
                <w:color w:val="auto"/>
                <w:szCs w:val="21"/>
                <w:lang w:val="en-US" w:eastAsia="zh-CN"/>
              </w:rPr>
              <w:t>15</w:t>
            </w:r>
          </w:p>
        </w:tc>
        <w:tc>
          <w:tcPr>
            <w:tcW w:w="1324" w:type="dxa"/>
            <w:vMerge w:val="restart"/>
            <w:vAlign w:val="center"/>
          </w:tcPr>
          <w:p w14:paraId="11BFEDB1">
            <w:pPr>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对房屋市政工程质量、安全及文明施工情况的行政检查</w:t>
            </w:r>
          </w:p>
        </w:tc>
        <w:tc>
          <w:tcPr>
            <w:tcW w:w="794" w:type="dxa"/>
            <w:vMerge w:val="restart"/>
            <w:vAlign w:val="center"/>
          </w:tcPr>
          <w:p w14:paraId="0E9D1EDF">
            <w:pPr>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苏州市相城区住房和城乡建设局</w:t>
            </w:r>
          </w:p>
        </w:tc>
        <w:tc>
          <w:tcPr>
            <w:tcW w:w="872" w:type="dxa"/>
            <w:vMerge w:val="restart"/>
            <w:vAlign w:val="center"/>
          </w:tcPr>
          <w:p w14:paraId="4550CADB">
            <w:pPr>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相城区建设工程质量安全监督中心</w:t>
            </w:r>
          </w:p>
        </w:tc>
        <w:tc>
          <w:tcPr>
            <w:tcW w:w="869" w:type="dxa"/>
            <w:vAlign w:val="center"/>
          </w:tcPr>
          <w:p w14:paraId="0EA9E0FF">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建设、设计、施工单位</w:t>
            </w:r>
          </w:p>
        </w:tc>
        <w:tc>
          <w:tcPr>
            <w:tcW w:w="4962" w:type="dxa"/>
            <w:vAlign w:val="center"/>
          </w:tcPr>
          <w:p w14:paraId="3EF1E487">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【政府规章】《苏州市民用建筑节能管理办法》</w:t>
            </w:r>
          </w:p>
          <w:p w14:paraId="3378EE47">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第四条  市建设行政主管部门负责本市行政区域内民用建筑节能的监督管理。县级市建设行政主管部门负责本行政区域内民用建筑节能的监督管理。</w:t>
            </w:r>
          </w:p>
          <w:p w14:paraId="1002C846">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第三十三条  违反本办法规定，建设、设计、施工单位在建筑物中采用禁止采用的建筑材料、用能系统、施工工艺和技术的，由建设行政主管部门责令限期改正，并处以5000元以上3万元以下的罚款。</w:t>
            </w:r>
          </w:p>
        </w:tc>
        <w:tc>
          <w:tcPr>
            <w:tcW w:w="992" w:type="dxa"/>
            <w:vMerge w:val="restart"/>
            <w:vAlign w:val="center"/>
          </w:tcPr>
          <w:p w14:paraId="60D9D185">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现场检查、书面检查</w:t>
            </w:r>
          </w:p>
        </w:tc>
        <w:tc>
          <w:tcPr>
            <w:tcW w:w="1139" w:type="dxa"/>
            <w:vMerge w:val="restart"/>
            <w:vAlign w:val="center"/>
          </w:tcPr>
          <w:p w14:paraId="2193D0FE">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双随机+重点检查</w:t>
            </w:r>
          </w:p>
        </w:tc>
        <w:tc>
          <w:tcPr>
            <w:tcW w:w="1491" w:type="dxa"/>
            <w:vAlign w:val="center"/>
          </w:tcPr>
          <w:p w14:paraId="72DF5D5A">
            <w:pPr>
              <w:widowControl/>
              <w:autoSpaceDE w:val="0"/>
              <w:autoSpaceDN w:val="0"/>
              <w:spacing w:line="280" w:lineRule="exact"/>
              <w:jc w:val="left"/>
              <w:rPr>
                <w:rFonts w:ascii="Times New Roman" w:hAnsi="Times New Roman" w:eastAsia="仿宋_GB2312" w:cs="方正仿宋_GBK"/>
                <w:color w:val="auto"/>
                <w:sz w:val="20"/>
                <w:szCs w:val="21"/>
              </w:rPr>
            </w:pPr>
            <w:r>
              <w:rPr>
                <w:rFonts w:hint="eastAsia" w:ascii="Times New Roman" w:hAnsi="Times New Roman" w:eastAsia="仿宋_GB2312" w:cs="方正仿宋_GBK"/>
                <w:color w:val="auto"/>
                <w:sz w:val="20"/>
                <w:szCs w:val="21"/>
              </w:rPr>
              <w:t>3202SZ083000</w:t>
            </w:r>
          </w:p>
        </w:tc>
        <w:tc>
          <w:tcPr>
            <w:tcW w:w="1481" w:type="dxa"/>
            <w:vAlign w:val="center"/>
          </w:tcPr>
          <w:p w14:paraId="2AF6A546">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对建设、设计、施工单位在建筑物中采用禁止采用的建筑材料、用能系统、施工工艺和技术的处罚</w:t>
            </w:r>
          </w:p>
        </w:tc>
        <w:tc>
          <w:tcPr>
            <w:tcW w:w="622" w:type="dxa"/>
            <w:vAlign w:val="center"/>
          </w:tcPr>
          <w:p w14:paraId="689AF210">
            <w:pPr>
              <w:widowControl/>
              <w:autoSpaceDE w:val="0"/>
              <w:autoSpaceDN w:val="0"/>
              <w:spacing w:line="280" w:lineRule="exact"/>
              <w:jc w:val="left"/>
              <w:rPr>
                <w:rFonts w:ascii="Times New Roman" w:hAnsi="Times New Roman" w:eastAsia="仿宋_GB2312" w:cs="方正仿宋_GBK"/>
                <w:color w:val="auto"/>
                <w:szCs w:val="21"/>
              </w:rPr>
            </w:pPr>
          </w:p>
        </w:tc>
      </w:tr>
      <w:tr w14:paraId="4F597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7" w:hRule="atLeast"/>
          <w:jc w:val="center"/>
        </w:trPr>
        <w:tc>
          <w:tcPr>
            <w:tcW w:w="536" w:type="dxa"/>
            <w:vMerge w:val="continue"/>
            <w:vAlign w:val="center"/>
          </w:tcPr>
          <w:p w14:paraId="127A0FF8">
            <w:pPr>
              <w:widowControl/>
              <w:autoSpaceDE w:val="0"/>
              <w:autoSpaceDN w:val="0"/>
              <w:spacing w:line="280" w:lineRule="exact"/>
              <w:jc w:val="left"/>
              <w:rPr>
                <w:rFonts w:ascii="Times New Roman" w:hAnsi="Times New Roman" w:eastAsia="仿宋_GB2312" w:cs="方正仿宋_GBK"/>
                <w:color w:val="auto"/>
                <w:szCs w:val="21"/>
              </w:rPr>
            </w:pPr>
          </w:p>
        </w:tc>
        <w:tc>
          <w:tcPr>
            <w:tcW w:w="1324" w:type="dxa"/>
            <w:vMerge w:val="continue"/>
            <w:vAlign w:val="center"/>
          </w:tcPr>
          <w:p w14:paraId="6B35CD2E">
            <w:pPr>
              <w:widowControl/>
              <w:autoSpaceDE w:val="0"/>
              <w:autoSpaceDN w:val="0"/>
              <w:spacing w:line="280" w:lineRule="exact"/>
              <w:jc w:val="left"/>
              <w:rPr>
                <w:rFonts w:ascii="Times New Roman" w:hAnsi="Times New Roman" w:eastAsia="仿宋_GB2312" w:cs="方正仿宋_GBK"/>
                <w:color w:val="auto"/>
                <w:szCs w:val="21"/>
              </w:rPr>
            </w:pPr>
          </w:p>
        </w:tc>
        <w:tc>
          <w:tcPr>
            <w:tcW w:w="794" w:type="dxa"/>
            <w:vMerge w:val="continue"/>
            <w:vAlign w:val="center"/>
          </w:tcPr>
          <w:p w14:paraId="37FF0ACE">
            <w:pPr>
              <w:widowControl/>
              <w:autoSpaceDE w:val="0"/>
              <w:autoSpaceDN w:val="0"/>
              <w:spacing w:line="280" w:lineRule="exact"/>
              <w:jc w:val="left"/>
              <w:rPr>
                <w:rFonts w:ascii="Times New Roman" w:hAnsi="Times New Roman" w:eastAsia="仿宋_GB2312" w:cs="方正仿宋_GBK"/>
                <w:color w:val="auto"/>
                <w:szCs w:val="21"/>
              </w:rPr>
            </w:pPr>
          </w:p>
        </w:tc>
        <w:tc>
          <w:tcPr>
            <w:tcW w:w="872" w:type="dxa"/>
            <w:vMerge w:val="continue"/>
            <w:vAlign w:val="center"/>
          </w:tcPr>
          <w:p w14:paraId="2824728F">
            <w:pPr>
              <w:widowControl/>
              <w:autoSpaceDE w:val="0"/>
              <w:autoSpaceDN w:val="0"/>
              <w:spacing w:line="280" w:lineRule="exact"/>
              <w:jc w:val="left"/>
              <w:rPr>
                <w:rFonts w:ascii="Times New Roman" w:hAnsi="Times New Roman" w:eastAsia="仿宋_GB2312" w:cs="方正仿宋_GBK"/>
                <w:color w:val="auto"/>
                <w:szCs w:val="21"/>
              </w:rPr>
            </w:pPr>
          </w:p>
        </w:tc>
        <w:tc>
          <w:tcPr>
            <w:tcW w:w="869" w:type="dxa"/>
            <w:vAlign w:val="center"/>
          </w:tcPr>
          <w:p w14:paraId="1132D254">
            <w:pPr>
              <w:widowControl/>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监理</w:t>
            </w:r>
          </w:p>
          <w:p w14:paraId="737848C7">
            <w:pPr>
              <w:widowControl/>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单位</w:t>
            </w:r>
          </w:p>
        </w:tc>
        <w:tc>
          <w:tcPr>
            <w:tcW w:w="4962" w:type="dxa"/>
            <w:vAlign w:val="center"/>
          </w:tcPr>
          <w:p w14:paraId="136C5A6B">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【政府规章】《苏州市建筑市场管理办法》</w:t>
            </w:r>
          </w:p>
          <w:p w14:paraId="4711CEFF">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第四条  市建设行政主管部门负责全市建筑市场的统一监督管理。各县级市建设行政主管部门负责本辖区内建筑市场的监督管理。</w:t>
            </w:r>
          </w:p>
          <w:p w14:paraId="5E461815">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苏州工业园区、苏州高新区、吴中区、相城区建设行政主管部门按照其职责权限，在其辖区内实施建筑市场的监督管理。</w:t>
            </w:r>
          </w:p>
          <w:p w14:paraId="4EC3A987">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第五十二条　监理单位有下列行为之一的，由建设行政主管部门责令改正，予以警告，并处以5千元以上3万元以下罚款：</w:t>
            </w:r>
          </w:p>
          <w:p w14:paraId="191528FD">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（五）施工过程中未按照规定进行旁站监理的。</w:t>
            </w:r>
          </w:p>
        </w:tc>
        <w:tc>
          <w:tcPr>
            <w:tcW w:w="992" w:type="dxa"/>
            <w:vMerge w:val="continue"/>
            <w:vAlign w:val="center"/>
          </w:tcPr>
          <w:p w14:paraId="4C9D4DEA">
            <w:pPr>
              <w:widowControl/>
              <w:autoSpaceDE w:val="0"/>
              <w:autoSpaceDN w:val="0"/>
              <w:spacing w:line="280" w:lineRule="exact"/>
              <w:jc w:val="left"/>
              <w:rPr>
                <w:rFonts w:ascii="Times New Roman" w:hAnsi="Times New Roman" w:eastAsia="仿宋_GB2312" w:cs="方正仿宋_GBK"/>
                <w:color w:val="auto"/>
                <w:szCs w:val="21"/>
              </w:rPr>
            </w:pPr>
          </w:p>
        </w:tc>
        <w:tc>
          <w:tcPr>
            <w:tcW w:w="1139" w:type="dxa"/>
            <w:vMerge w:val="continue"/>
            <w:vAlign w:val="center"/>
          </w:tcPr>
          <w:p w14:paraId="7BD48183">
            <w:pPr>
              <w:widowControl/>
              <w:autoSpaceDE w:val="0"/>
              <w:autoSpaceDN w:val="0"/>
              <w:spacing w:line="280" w:lineRule="exact"/>
              <w:jc w:val="left"/>
              <w:rPr>
                <w:rFonts w:ascii="Times New Roman" w:hAnsi="Times New Roman" w:eastAsia="仿宋_GB2312" w:cs="方正仿宋_GBK"/>
                <w:color w:val="auto"/>
                <w:szCs w:val="21"/>
              </w:rPr>
            </w:pPr>
          </w:p>
        </w:tc>
        <w:tc>
          <w:tcPr>
            <w:tcW w:w="1491" w:type="dxa"/>
            <w:vAlign w:val="center"/>
          </w:tcPr>
          <w:p w14:paraId="03E99492">
            <w:pPr>
              <w:widowControl/>
              <w:autoSpaceDE w:val="0"/>
              <w:autoSpaceDN w:val="0"/>
              <w:spacing w:line="280" w:lineRule="exact"/>
              <w:jc w:val="left"/>
              <w:rPr>
                <w:rFonts w:ascii="Times New Roman" w:hAnsi="Times New Roman" w:eastAsia="仿宋_GB2312" w:cs="方正仿宋_GBK"/>
                <w:color w:val="auto"/>
                <w:sz w:val="20"/>
                <w:szCs w:val="21"/>
              </w:rPr>
            </w:pPr>
            <w:r>
              <w:rPr>
                <w:rFonts w:hint="eastAsia" w:ascii="Times New Roman" w:hAnsi="Times New Roman" w:eastAsia="仿宋_GB2312" w:cs="方正仿宋_GBK"/>
                <w:color w:val="auto"/>
                <w:sz w:val="20"/>
                <w:szCs w:val="21"/>
              </w:rPr>
              <w:t>3202SZ075000</w:t>
            </w:r>
          </w:p>
        </w:tc>
        <w:tc>
          <w:tcPr>
            <w:tcW w:w="1481" w:type="dxa"/>
            <w:vAlign w:val="center"/>
          </w:tcPr>
          <w:p w14:paraId="4735C9B6">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对监理单位施工过程中未按照规定进行旁站监理的处罚</w:t>
            </w:r>
          </w:p>
        </w:tc>
        <w:tc>
          <w:tcPr>
            <w:tcW w:w="622" w:type="dxa"/>
            <w:vAlign w:val="center"/>
          </w:tcPr>
          <w:p w14:paraId="00AEDA82">
            <w:pPr>
              <w:widowControl/>
              <w:autoSpaceDE w:val="0"/>
              <w:autoSpaceDN w:val="0"/>
              <w:spacing w:line="280" w:lineRule="exact"/>
              <w:jc w:val="left"/>
              <w:rPr>
                <w:rFonts w:ascii="Times New Roman" w:hAnsi="Times New Roman" w:eastAsia="仿宋_GB2312" w:cs="方正仿宋_GBK"/>
                <w:color w:val="auto"/>
                <w:szCs w:val="21"/>
              </w:rPr>
            </w:pPr>
          </w:p>
        </w:tc>
      </w:tr>
      <w:tr w14:paraId="3AEEB1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18" w:hRule="atLeast"/>
          <w:jc w:val="center"/>
        </w:trPr>
        <w:tc>
          <w:tcPr>
            <w:tcW w:w="536" w:type="dxa"/>
            <w:vMerge w:val="continue"/>
            <w:vAlign w:val="center"/>
          </w:tcPr>
          <w:p w14:paraId="0B18D0FD">
            <w:pPr>
              <w:widowControl/>
              <w:autoSpaceDE w:val="0"/>
              <w:autoSpaceDN w:val="0"/>
              <w:spacing w:line="280" w:lineRule="exact"/>
              <w:jc w:val="left"/>
              <w:rPr>
                <w:rFonts w:ascii="Times New Roman" w:hAnsi="Times New Roman" w:eastAsia="仿宋_GB2312" w:cs="方正仿宋_GBK"/>
                <w:color w:val="auto"/>
                <w:szCs w:val="21"/>
              </w:rPr>
            </w:pPr>
          </w:p>
        </w:tc>
        <w:tc>
          <w:tcPr>
            <w:tcW w:w="1324" w:type="dxa"/>
            <w:vMerge w:val="continue"/>
            <w:vAlign w:val="center"/>
          </w:tcPr>
          <w:p w14:paraId="154556F6">
            <w:pPr>
              <w:widowControl/>
              <w:autoSpaceDE w:val="0"/>
              <w:autoSpaceDN w:val="0"/>
              <w:spacing w:line="280" w:lineRule="exact"/>
              <w:jc w:val="left"/>
              <w:rPr>
                <w:rFonts w:ascii="Times New Roman" w:hAnsi="Times New Roman" w:eastAsia="仿宋_GB2312" w:cs="方正仿宋_GBK"/>
                <w:color w:val="auto"/>
                <w:szCs w:val="21"/>
              </w:rPr>
            </w:pPr>
          </w:p>
        </w:tc>
        <w:tc>
          <w:tcPr>
            <w:tcW w:w="794" w:type="dxa"/>
            <w:vMerge w:val="continue"/>
            <w:vAlign w:val="center"/>
          </w:tcPr>
          <w:p w14:paraId="0814E1A6">
            <w:pPr>
              <w:widowControl/>
              <w:autoSpaceDE w:val="0"/>
              <w:autoSpaceDN w:val="0"/>
              <w:spacing w:line="280" w:lineRule="exact"/>
              <w:jc w:val="left"/>
              <w:rPr>
                <w:rFonts w:ascii="Times New Roman" w:hAnsi="Times New Roman" w:eastAsia="仿宋_GB2312" w:cs="方正仿宋_GBK"/>
                <w:color w:val="auto"/>
                <w:szCs w:val="21"/>
              </w:rPr>
            </w:pPr>
          </w:p>
        </w:tc>
        <w:tc>
          <w:tcPr>
            <w:tcW w:w="872" w:type="dxa"/>
            <w:vMerge w:val="continue"/>
            <w:vAlign w:val="center"/>
          </w:tcPr>
          <w:p w14:paraId="577F5EE7">
            <w:pPr>
              <w:widowControl/>
              <w:autoSpaceDE w:val="0"/>
              <w:autoSpaceDN w:val="0"/>
              <w:spacing w:line="280" w:lineRule="exact"/>
              <w:jc w:val="left"/>
              <w:rPr>
                <w:rFonts w:ascii="Times New Roman" w:hAnsi="Times New Roman" w:eastAsia="仿宋_GB2312" w:cs="方正仿宋_GBK"/>
                <w:color w:val="auto"/>
                <w:szCs w:val="21"/>
              </w:rPr>
            </w:pPr>
          </w:p>
        </w:tc>
        <w:tc>
          <w:tcPr>
            <w:tcW w:w="869" w:type="dxa"/>
            <w:vAlign w:val="center"/>
          </w:tcPr>
          <w:p w14:paraId="1311B952">
            <w:pPr>
              <w:widowControl/>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监理</w:t>
            </w:r>
          </w:p>
          <w:p w14:paraId="386AB72B">
            <w:pPr>
              <w:widowControl/>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单位</w:t>
            </w:r>
          </w:p>
        </w:tc>
        <w:tc>
          <w:tcPr>
            <w:tcW w:w="4962" w:type="dxa"/>
            <w:vAlign w:val="center"/>
          </w:tcPr>
          <w:p w14:paraId="14C1505D">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【政府规章】《苏州市建筑市场管理办法》</w:t>
            </w:r>
          </w:p>
          <w:p w14:paraId="01773A32">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第四条  市建设行政主管部门负责全市建筑市场的统一监督管理。各县级市建设行政主管部门负责本辖区内建筑市场的监督管理。</w:t>
            </w:r>
          </w:p>
          <w:p w14:paraId="63B78300">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苏州工业园区、苏州高新区、吴中区、相城区建设行政主管部门按照其职责权限，在其辖区内实施建筑市场的监督管理。</w:t>
            </w:r>
          </w:p>
        </w:tc>
        <w:tc>
          <w:tcPr>
            <w:tcW w:w="992" w:type="dxa"/>
            <w:vMerge w:val="continue"/>
            <w:vAlign w:val="center"/>
          </w:tcPr>
          <w:p w14:paraId="783CD6A9">
            <w:pPr>
              <w:widowControl/>
              <w:autoSpaceDE w:val="0"/>
              <w:autoSpaceDN w:val="0"/>
              <w:spacing w:line="280" w:lineRule="exact"/>
              <w:jc w:val="left"/>
              <w:rPr>
                <w:rFonts w:ascii="Times New Roman" w:hAnsi="Times New Roman" w:eastAsia="仿宋_GB2312" w:cs="方正仿宋_GBK"/>
                <w:color w:val="auto"/>
                <w:szCs w:val="21"/>
              </w:rPr>
            </w:pPr>
          </w:p>
        </w:tc>
        <w:tc>
          <w:tcPr>
            <w:tcW w:w="1139" w:type="dxa"/>
            <w:vMerge w:val="continue"/>
            <w:vAlign w:val="center"/>
          </w:tcPr>
          <w:p w14:paraId="0643B263">
            <w:pPr>
              <w:widowControl/>
              <w:autoSpaceDE w:val="0"/>
              <w:autoSpaceDN w:val="0"/>
              <w:spacing w:line="280" w:lineRule="exact"/>
              <w:jc w:val="left"/>
              <w:rPr>
                <w:rFonts w:ascii="Times New Roman" w:hAnsi="Times New Roman" w:eastAsia="仿宋_GB2312" w:cs="方正仿宋_GBK"/>
                <w:color w:val="auto"/>
                <w:szCs w:val="21"/>
              </w:rPr>
            </w:pPr>
          </w:p>
        </w:tc>
        <w:tc>
          <w:tcPr>
            <w:tcW w:w="1491" w:type="dxa"/>
            <w:vAlign w:val="center"/>
          </w:tcPr>
          <w:p w14:paraId="50123897">
            <w:pPr>
              <w:widowControl/>
              <w:autoSpaceDE w:val="0"/>
              <w:autoSpaceDN w:val="0"/>
              <w:spacing w:line="280" w:lineRule="exact"/>
              <w:jc w:val="left"/>
              <w:rPr>
                <w:rFonts w:ascii="Times New Roman" w:hAnsi="Times New Roman" w:eastAsia="仿宋_GB2312" w:cs="方正仿宋_GBK"/>
                <w:color w:val="auto"/>
                <w:sz w:val="20"/>
                <w:szCs w:val="21"/>
              </w:rPr>
            </w:pPr>
            <w:r>
              <w:rPr>
                <w:rFonts w:hint="eastAsia" w:ascii="Times New Roman" w:hAnsi="Times New Roman" w:eastAsia="仿宋_GB2312" w:cs="方正仿宋_GBK"/>
                <w:color w:val="auto"/>
                <w:sz w:val="20"/>
                <w:szCs w:val="21"/>
              </w:rPr>
              <w:t>3202SZ074000</w:t>
            </w:r>
          </w:p>
        </w:tc>
        <w:tc>
          <w:tcPr>
            <w:tcW w:w="1481" w:type="dxa"/>
            <w:vAlign w:val="center"/>
          </w:tcPr>
          <w:p w14:paraId="07B4F771">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对监理单位对主要建筑材料、建筑构配件和设备未报经监理核验即用于工程或者应复试而未复试即用于工程</w:t>
            </w:r>
          </w:p>
        </w:tc>
        <w:tc>
          <w:tcPr>
            <w:tcW w:w="622" w:type="dxa"/>
            <w:vAlign w:val="center"/>
          </w:tcPr>
          <w:p w14:paraId="361745DB">
            <w:pPr>
              <w:widowControl/>
              <w:autoSpaceDE w:val="0"/>
              <w:autoSpaceDN w:val="0"/>
              <w:spacing w:line="280" w:lineRule="exact"/>
              <w:jc w:val="left"/>
              <w:rPr>
                <w:rFonts w:ascii="Times New Roman" w:hAnsi="Times New Roman" w:eastAsia="仿宋_GB2312" w:cs="方正仿宋_GBK"/>
                <w:color w:val="auto"/>
                <w:szCs w:val="21"/>
              </w:rPr>
            </w:pPr>
          </w:p>
        </w:tc>
      </w:tr>
      <w:tr w14:paraId="68E65A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6" w:type="dxa"/>
            <w:vMerge w:val="restart"/>
            <w:vAlign w:val="center"/>
          </w:tcPr>
          <w:p w14:paraId="0ACB7DF9">
            <w:pPr>
              <w:autoSpaceDE w:val="0"/>
              <w:autoSpaceDN w:val="0"/>
              <w:spacing w:line="280" w:lineRule="exact"/>
              <w:jc w:val="center"/>
              <w:rPr>
                <w:rFonts w:hint="default" w:ascii="Times New Roman" w:hAnsi="Times New Roman" w:eastAsia="仿宋_GB2312" w:cs="方正仿宋_GBK"/>
                <w:color w:val="auto"/>
                <w:szCs w:val="21"/>
                <w:lang w:val="en-US" w:eastAsia="zh-CN"/>
              </w:rPr>
            </w:pPr>
            <w:r>
              <w:rPr>
                <w:rFonts w:hint="eastAsia" w:ascii="Times New Roman" w:hAnsi="Times New Roman" w:eastAsia="仿宋_GB2312" w:cs="方正仿宋_GBK"/>
                <w:color w:val="auto"/>
                <w:szCs w:val="21"/>
                <w:lang w:val="en-US" w:eastAsia="zh-CN"/>
              </w:rPr>
              <w:t>15</w:t>
            </w:r>
          </w:p>
        </w:tc>
        <w:tc>
          <w:tcPr>
            <w:tcW w:w="1324" w:type="dxa"/>
            <w:vMerge w:val="restart"/>
            <w:vAlign w:val="center"/>
          </w:tcPr>
          <w:p w14:paraId="519B2FD6">
            <w:pPr>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对房屋市政工程质量、安全及文明施工情况的行政检查</w:t>
            </w:r>
          </w:p>
        </w:tc>
        <w:tc>
          <w:tcPr>
            <w:tcW w:w="794" w:type="dxa"/>
            <w:vMerge w:val="restart"/>
            <w:vAlign w:val="center"/>
          </w:tcPr>
          <w:p w14:paraId="699DFC04">
            <w:pPr>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苏州市相城区住房和城乡建设局</w:t>
            </w:r>
          </w:p>
        </w:tc>
        <w:tc>
          <w:tcPr>
            <w:tcW w:w="872" w:type="dxa"/>
            <w:vMerge w:val="restart"/>
            <w:vAlign w:val="center"/>
          </w:tcPr>
          <w:p w14:paraId="27437652">
            <w:pPr>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相城区建设工程质量安全监督中心</w:t>
            </w:r>
          </w:p>
        </w:tc>
        <w:tc>
          <w:tcPr>
            <w:tcW w:w="869" w:type="dxa"/>
            <w:vAlign w:val="center"/>
          </w:tcPr>
          <w:p w14:paraId="78973901">
            <w:pPr>
              <w:widowControl/>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监理</w:t>
            </w:r>
          </w:p>
          <w:p w14:paraId="3F751F18">
            <w:pPr>
              <w:widowControl/>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单位</w:t>
            </w:r>
          </w:p>
        </w:tc>
        <w:tc>
          <w:tcPr>
            <w:tcW w:w="4962" w:type="dxa"/>
            <w:vAlign w:val="center"/>
          </w:tcPr>
          <w:p w14:paraId="6AFC77D3">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第五十二条　监理单位有下列行为之一的，由建设行政主管部门责令改正，予以警告，并处以5千元以上3万元以下罚款：</w:t>
            </w:r>
          </w:p>
          <w:p w14:paraId="43E866E2">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（四）对主要建筑材料、建筑构配件和设备未报经监理核验即用于工程或者应复试而未复试即用于工程的行为，未书面提出制止和纠正要求的；</w:t>
            </w:r>
          </w:p>
        </w:tc>
        <w:tc>
          <w:tcPr>
            <w:tcW w:w="992" w:type="dxa"/>
            <w:vMerge w:val="restart"/>
            <w:vAlign w:val="center"/>
          </w:tcPr>
          <w:p w14:paraId="499DDF52">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现场检查、书面检查</w:t>
            </w:r>
          </w:p>
        </w:tc>
        <w:tc>
          <w:tcPr>
            <w:tcW w:w="1139" w:type="dxa"/>
            <w:vMerge w:val="restart"/>
            <w:vAlign w:val="center"/>
          </w:tcPr>
          <w:p w14:paraId="67AFC080">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双随机+重点检查</w:t>
            </w:r>
          </w:p>
        </w:tc>
        <w:tc>
          <w:tcPr>
            <w:tcW w:w="1491" w:type="dxa"/>
            <w:vAlign w:val="center"/>
          </w:tcPr>
          <w:p w14:paraId="487B99FB">
            <w:pPr>
              <w:widowControl/>
              <w:autoSpaceDE w:val="0"/>
              <w:autoSpaceDN w:val="0"/>
              <w:spacing w:line="280" w:lineRule="exact"/>
              <w:jc w:val="left"/>
              <w:rPr>
                <w:rFonts w:ascii="Times New Roman" w:hAnsi="Times New Roman" w:eastAsia="仿宋_GB2312" w:cs="方正仿宋_GBK"/>
                <w:color w:val="auto"/>
                <w:sz w:val="20"/>
                <w:szCs w:val="21"/>
              </w:rPr>
            </w:pPr>
            <w:r>
              <w:rPr>
                <w:rFonts w:hint="eastAsia" w:ascii="Times New Roman" w:hAnsi="Times New Roman" w:eastAsia="仿宋_GB2312" w:cs="方正仿宋_GBK"/>
                <w:color w:val="auto"/>
                <w:sz w:val="20"/>
                <w:szCs w:val="21"/>
              </w:rPr>
              <w:t>3202SZ074000</w:t>
            </w:r>
          </w:p>
        </w:tc>
        <w:tc>
          <w:tcPr>
            <w:tcW w:w="1481" w:type="dxa"/>
            <w:vAlign w:val="center"/>
          </w:tcPr>
          <w:p w14:paraId="184420E4">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的行为，未书面提出制止和纠正要求的处罚</w:t>
            </w:r>
          </w:p>
        </w:tc>
        <w:tc>
          <w:tcPr>
            <w:tcW w:w="622" w:type="dxa"/>
            <w:vAlign w:val="center"/>
          </w:tcPr>
          <w:p w14:paraId="23DFB99B">
            <w:pPr>
              <w:widowControl/>
              <w:autoSpaceDE w:val="0"/>
              <w:autoSpaceDN w:val="0"/>
              <w:spacing w:line="280" w:lineRule="exact"/>
              <w:jc w:val="left"/>
              <w:rPr>
                <w:rFonts w:ascii="Times New Roman" w:hAnsi="Times New Roman" w:eastAsia="仿宋_GB2312" w:cs="方正仿宋_GBK"/>
                <w:color w:val="auto"/>
                <w:szCs w:val="21"/>
              </w:rPr>
            </w:pPr>
          </w:p>
        </w:tc>
      </w:tr>
      <w:tr w14:paraId="20C397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34" w:hRule="atLeast"/>
          <w:jc w:val="center"/>
        </w:trPr>
        <w:tc>
          <w:tcPr>
            <w:tcW w:w="536" w:type="dxa"/>
            <w:vMerge w:val="continue"/>
            <w:vAlign w:val="center"/>
          </w:tcPr>
          <w:p w14:paraId="55C6AF53">
            <w:pPr>
              <w:autoSpaceDE w:val="0"/>
              <w:autoSpaceDN w:val="0"/>
              <w:spacing w:line="280" w:lineRule="exact"/>
              <w:jc w:val="center"/>
              <w:rPr>
                <w:rFonts w:ascii="Times New Roman" w:hAnsi="Times New Roman" w:eastAsia="仿宋_GB2312" w:cs="方正仿宋_GBK"/>
                <w:color w:val="auto"/>
                <w:szCs w:val="21"/>
              </w:rPr>
            </w:pPr>
          </w:p>
        </w:tc>
        <w:tc>
          <w:tcPr>
            <w:tcW w:w="1324" w:type="dxa"/>
            <w:vMerge w:val="continue"/>
            <w:vAlign w:val="center"/>
          </w:tcPr>
          <w:p w14:paraId="1F549B36">
            <w:pPr>
              <w:autoSpaceDE w:val="0"/>
              <w:autoSpaceDN w:val="0"/>
              <w:spacing w:line="280" w:lineRule="exact"/>
              <w:jc w:val="left"/>
              <w:rPr>
                <w:rFonts w:ascii="Times New Roman" w:hAnsi="Times New Roman" w:eastAsia="仿宋_GB2312" w:cs="方正仿宋_GBK"/>
                <w:color w:val="auto"/>
                <w:szCs w:val="21"/>
              </w:rPr>
            </w:pPr>
          </w:p>
        </w:tc>
        <w:tc>
          <w:tcPr>
            <w:tcW w:w="794" w:type="dxa"/>
            <w:vMerge w:val="continue"/>
            <w:vAlign w:val="center"/>
          </w:tcPr>
          <w:p w14:paraId="33805BB1">
            <w:pPr>
              <w:autoSpaceDE w:val="0"/>
              <w:autoSpaceDN w:val="0"/>
              <w:spacing w:line="280" w:lineRule="exact"/>
              <w:jc w:val="center"/>
              <w:rPr>
                <w:rFonts w:ascii="Times New Roman" w:hAnsi="Times New Roman" w:eastAsia="仿宋_GB2312" w:cs="方正仿宋_GBK"/>
                <w:color w:val="auto"/>
                <w:szCs w:val="21"/>
              </w:rPr>
            </w:pPr>
          </w:p>
        </w:tc>
        <w:tc>
          <w:tcPr>
            <w:tcW w:w="872" w:type="dxa"/>
            <w:vMerge w:val="continue"/>
            <w:vAlign w:val="center"/>
          </w:tcPr>
          <w:p w14:paraId="27A082DE">
            <w:pPr>
              <w:autoSpaceDE w:val="0"/>
              <w:autoSpaceDN w:val="0"/>
              <w:spacing w:line="280" w:lineRule="exact"/>
              <w:jc w:val="center"/>
              <w:rPr>
                <w:rFonts w:ascii="Times New Roman" w:hAnsi="Times New Roman" w:eastAsia="仿宋_GB2312" w:cs="方正仿宋_GBK"/>
                <w:color w:val="auto"/>
                <w:szCs w:val="21"/>
              </w:rPr>
            </w:pPr>
          </w:p>
        </w:tc>
        <w:tc>
          <w:tcPr>
            <w:tcW w:w="869" w:type="dxa"/>
            <w:vAlign w:val="center"/>
          </w:tcPr>
          <w:p w14:paraId="2DD3B2FB">
            <w:pPr>
              <w:widowControl/>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监理</w:t>
            </w:r>
          </w:p>
          <w:p w14:paraId="59916A28">
            <w:pPr>
              <w:widowControl/>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单位</w:t>
            </w:r>
          </w:p>
        </w:tc>
        <w:tc>
          <w:tcPr>
            <w:tcW w:w="4962" w:type="dxa"/>
            <w:vAlign w:val="center"/>
          </w:tcPr>
          <w:p w14:paraId="3B5D629B">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【政府规章】《苏州市建筑市场管理办法》</w:t>
            </w:r>
          </w:p>
          <w:p w14:paraId="2E82575B">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第四条  市建设行政主管部门负责全市建筑市场的统一监督管理。各县级市建设行政主管部门负责本辖区内建筑市场的监督管理。</w:t>
            </w:r>
          </w:p>
          <w:p w14:paraId="5BDA3B50">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苏州工业园区、苏州高新区、吴中区、相城区建设行政主管部门按照其职责权限，在其辖区内实施建筑市场的监督管理。</w:t>
            </w:r>
          </w:p>
          <w:p w14:paraId="75BE32FF">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第五十二条　监理单位有下列行为之一的，由建设行政主管部门责令改正，予以警告，并处以5千元以上3万元以下罚款：</w:t>
            </w:r>
          </w:p>
          <w:p w14:paraId="49CC8CB2">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（三）对施工过程中违反强制性标准的行为，或者对施工单位上道工序未报经监理验收即进入下道工序施工的行为，未书面提出制止和纠正要求的；</w:t>
            </w:r>
          </w:p>
        </w:tc>
        <w:tc>
          <w:tcPr>
            <w:tcW w:w="992" w:type="dxa"/>
            <w:vMerge w:val="continue"/>
            <w:vAlign w:val="center"/>
          </w:tcPr>
          <w:p w14:paraId="064FFEF4">
            <w:pPr>
              <w:widowControl/>
              <w:autoSpaceDE w:val="0"/>
              <w:autoSpaceDN w:val="0"/>
              <w:spacing w:line="280" w:lineRule="exact"/>
              <w:jc w:val="left"/>
              <w:rPr>
                <w:rFonts w:ascii="Times New Roman" w:hAnsi="Times New Roman" w:eastAsia="仿宋_GB2312" w:cs="方正仿宋_GBK"/>
                <w:color w:val="auto"/>
                <w:szCs w:val="21"/>
              </w:rPr>
            </w:pPr>
          </w:p>
        </w:tc>
        <w:tc>
          <w:tcPr>
            <w:tcW w:w="1139" w:type="dxa"/>
            <w:vMerge w:val="continue"/>
            <w:vAlign w:val="center"/>
          </w:tcPr>
          <w:p w14:paraId="189BDE48">
            <w:pPr>
              <w:widowControl/>
              <w:autoSpaceDE w:val="0"/>
              <w:autoSpaceDN w:val="0"/>
              <w:spacing w:line="280" w:lineRule="exact"/>
              <w:jc w:val="left"/>
              <w:rPr>
                <w:rFonts w:ascii="Times New Roman" w:hAnsi="Times New Roman" w:eastAsia="仿宋_GB2312" w:cs="方正仿宋_GBK"/>
                <w:color w:val="auto"/>
                <w:szCs w:val="21"/>
              </w:rPr>
            </w:pPr>
          </w:p>
        </w:tc>
        <w:tc>
          <w:tcPr>
            <w:tcW w:w="1491" w:type="dxa"/>
            <w:vAlign w:val="center"/>
          </w:tcPr>
          <w:p w14:paraId="704C001A">
            <w:pPr>
              <w:widowControl/>
              <w:autoSpaceDE w:val="0"/>
              <w:autoSpaceDN w:val="0"/>
              <w:spacing w:line="280" w:lineRule="exact"/>
              <w:jc w:val="left"/>
              <w:rPr>
                <w:rFonts w:ascii="Times New Roman" w:hAnsi="Times New Roman" w:eastAsia="仿宋_GB2312" w:cs="方正仿宋_GBK"/>
                <w:color w:val="auto"/>
                <w:sz w:val="20"/>
                <w:szCs w:val="21"/>
              </w:rPr>
            </w:pPr>
            <w:r>
              <w:rPr>
                <w:rFonts w:hint="eastAsia" w:ascii="Times New Roman" w:hAnsi="Times New Roman" w:eastAsia="仿宋_GB2312" w:cs="方正仿宋_GBK"/>
                <w:color w:val="auto"/>
                <w:sz w:val="20"/>
                <w:szCs w:val="21"/>
              </w:rPr>
              <w:t>3202SZ073000</w:t>
            </w:r>
          </w:p>
        </w:tc>
        <w:tc>
          <w:tcPr>
            <w:tcW w:w="1481" w:type="dxa"/>
            <w:vAlign w:val="center"/>
          </w:tcPr>
          <w:p w14:paraId="17457284">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对监理单位对施工过程中违反强制性标准的行为，或者对施工单位上道工序未报经监理验收即进入下道工序施工的行为，未书面提出制止和纠正要求的处罚</w:t>
            </w:r>
          </w:p>
        </w:tc>
        <w:tc>
          <w:tcPr>
            <w:tcW w:w="622" w:type="dxa"/>
            <w:vAlign w:val="center"/>
          </w:tcPr>
          <w:p w14:paraId="58927C04">
            <w:pPr>
              <w:widowControl/>
              <w:autoSpaceDE w:val="0"/>
              <w:autoSpaceDN w:val="0"/>
              <w:spacing w:line="280" w:lineRule="exact"/>
              <w:jc w:val="left"/>
              <w:rPr>
                <w:rFonts w:ascii="Times New Roman" w:hAnsi="Times New Roman" w:eastAsia="仿宋_GB2312" w:cs="方正仿宋_GBK"/>
                <w:color w:val="auto"/>
                <w:szCs w:val="21"/>
              </w:rPr>
            </w:pPr>
          </w:p>
        </w:tc>
      </w:tr>
      <w:tr w14:paraId="13CAC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3" w:hRule="atLeast"/>
          <w:jc w:val="center"/>
        </w:trPr>
        <w:tc>
          <w:tcPr>
            <w:tcW w:w="536" w:type="dxa"/>
            <w:vMerge w:val="continue"/>
            <w:vAlign w:val="center"/>
          </w:tcPr>
          <w:p w14:paraId="19D38122">
            <w:pPr>
              <w:widowControl/>
              <w:autoSpaceDE w:val="0"/>
              <w:autoSpaceDN w:val="0"/>
              <w:spacing w:line="280" w:lineRule="exact"/>
              <w:jc w:val="left"/>
              <w:rPr>
                <w:rFonts w:ascii="Times New Roman" w:hAnsi="Times New Roman" w:eastAsia="仿宋_GB2312" w:cs="方正仿宋_GBK"/>
                <w:color w:val="auto"/>
                <w:szCs w:val="21"/>
              </w:rPr>
            </w:pPr>
          </w:p>
        </w:tc>
        <w:tc>
          <w:tcPr>
            <w:tcW w:w="1324" w:type="dxa"/>
            <w:vMerge w:val="continue"/>
            <w:vAlign w:val="center"/>
          </w:tcPr>
          <w:p w14:paraId="5847A027">
            <w:pPr>
              <w:widowControl/>
              <w:autoSpaceDE w:val="0"/>
              <w:autoSpaceDN w:val="0"/>
              <w:spacing w:line="280" w:lineRule="exact"/>
              <w:jc w:val="left"/>
              <w:rPr>
                <w:rFonts w:ascii="Times New Roman" w:hAnsi="Times New Roman" w:eastAsia="仿宋_GB2312" w:cs="方正仿宋_GBK"/>
                <w:color w:val="auto"/>
                <w:szCs w:val="21"/>
              </w:rPr>
            </w:pPr>
          </w:p>
        </w:tc>
        <w:tc>
          <w:tcPr>
            <w:tcW w:w="794" w:type="dxa"/>
            <w:vMerge w:val="continue"/>
            <w:vAlign w:val="center"/>
          </w:tcPr>
          <w:p w14:paraId="102CE7F3">
            <w:pPr>
              <w:widowControl/>
              <w:autoSpaceDE w:val="0"/>
              <w:autoSpaceDN w:val="0"/>
              <w:spacing w:line="280" w:lineRule="exact"/>
              <w:jc w:val="left"/>
              <w:rPr>
                <w:rFonts w:ascii="Times New Roman" w:hAnsi="Times New Roman" w:eastAsia="仿宋_GB2312" w:cs="方正仿宋_GBK"/>
                <w:color w:val="auto"/>
                <w:szCs w:val="21"/>
              </w:rPr>
            </w:pPr>
          </w:p>
        </w:tc>
        <w:tc>
          <w:tcPr>
            <w:tcW w:w="872" w:type="dxa"/>
            <w:vMerge w:val="continue"/>
            <w:vAlign w:val="center"/>
          </w:tcPr>
          <w:p w14:paraId="30786608">
            <w:pPr>
              <w:widowControl/>
              <w:autoSpaceDE w:val="0"/>
              <w:autoSpaceDN w:val="0"/>
              <w:spacing w:line="280" w:lineRule="exact"/>
              <w:jc w:val="left"/>
              <w:rPr>
                <w:rFonts w:ascii="Times New Roman" w:hAnsi="Times New Roman" w:eastAsia="仿宋_GB2312" w:cs="方正仿宋_GBK"/>
                <w:color w:val="auto"/>
                <w:szCs w:val="21"/>
              </w:rPr>
            </w:pPr>
          </w:p>
        </w:tc>
        <w:tc>
          <w:tcPr>
            <w:tcW w:w="869" w:type="dxa"/>
            <w:vAlign w:val="center"/>
          </w:tcPr>
          <w:p w14:paraId="24744DEB">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自升式架设设施安装、拆卸单位</w:t>
            </w:r>
          </w:p>
        </w:tc>
        <w:tc>
          <w:tcPr>
            <w:tcW w:w="4962" w:type="dxa"/>
            <w:vAlign w:val="center"/>
          </w:tcPr>
          <w:p w14:paraId="3C794414">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【行政法规】《建设工程安全生产管理条例》</w:t>
            </w:r>
          </w:p>
          <w:p w14:paraId="6B418C9E">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第十七条第二款　安装、拆卸施工起重机械和整体提升脚手架、模板等自升式架设设施，应当编制拆装方案、制定安全施工措施，并由专业技术人员现场监督。</w:t>
            </w:r>
          </w:p>
          <w:p w14:paraId="5A3D2C52">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第六十一条　违反本条例的规定，施工起重机械和整体提升脚手架、模板等自升式架设设施安装、拆卸单位有下列行为之一的，责令限期改正，处5万元</w:t>
            </w:r>
          </w:p>
        </w:tc>
        <w:tc>
          <w:tcPr>
            <w:tcW w:w="992" w:type="dxa"/>
            <w:vMerge w:val="continue"/>
            <w:vAlign w:val="center"/>
          </w:tcPr>
          <w:p w14:paraId="747F0F0B">
            <w:pPr>
              <w:widowControl/>
              <w:autoSpaceDE w:val="0"/>
              <w:autoSpaceDN w:val="0"/>
              <w:spacing w:line="280" w:lineRule="exact"/>
              <w:jc w:val="left"/>
              <w:rPr>
                <w:rFonts w:ascii="Times New Roman" w:hAnsi="Times New Roman" w:eastAsia="仿宋_GB2312" w:cs="方正仿宋_GBK"/>
                <w:color w:val="auto"/>
                <w:szCs w:val="21"/>
              </w:rPr>
            </w:pPr>
          </w:p>
        </w:tc>
        <w:tc>
          <w:tcPr>
            <w:tcW w:w="1139" w:type="dxa"/>
            <w:vMerge w:val="continue"/>
            <w:vAlign w:val="center"/>
          </w:tcPr>
          <w:p w14:paraId="4D5F0BBF">
            <w:pPr>
              <w:widowControl/>
              <w:autoSpaceDE w:val="0"/>
              <w:autoSpaceDN w:val="0"/>
              <w:spacing w:line="280" w:lineRule="exact"/>
              <w:jc w:val="left"/>
              <w:rPr>
                <w:rFonts w:ascii="Times New Roman" w:hAnsi="Times New Roman" w:eastAsia="仿宋_GB2312" w:cs="方正仿宋_GBK"/>
                <w:color w:val="auto"/>
                <w:szCs w:val="21"/>
              </w:rPr>
            </w:pPr>
          </w:p>
        </w:tc>
        <w:tc>
          <w:tcPr>
            <w:tcW w:w="1491" w:type="dxa"/>
            <w:vAlign w:val="center"/>
          </w:tcPr>
          <w:p w14:paraId="10142A14">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320217009000</w:t>
            </w:r>
          </w:p>
        </w:tc>
        <w:tc>
          <w:tcPr>
            <w:tcW w:w="1481" w:type="dxa"/>
            <w:vAlign w:val="center"/>
          </w:tcPr>
          <w:p w14:paraId="05F05990">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对安装、拆卸施工起重机械和整体提升脚手架、模板等自升式架设设施未编制拆装方案、制定安全施工措施的处罚</w:t>
            </w:r>
          </w:p>
        </w:tc>
        <w:tc>
          <w:tcPr>
            <w:tcW w:w="622" w:type="dxa"/>
            <w:vAlign w:val="center"/>
          </w:tcPr>
          <w:p w14:paraId="35C9028E">
            <w:pPr>
              <w:widowControl/>
              <w:autoSpaceDE w:val="0"/>
              <w:autoSpaceDN w:val="0"/>
              <w:spacing w:line="280" w:lineRule="exact"/>
              <w:jc w:val="left"/>
              <w:rPr>
                <w:rFonts w:ascii="Times New Roman" w:hAnsi="Times New Roman" w:eastAsia="仿宋_GB2312" w:cs="方正仿宋_GBK"/>
                <w:color w:val="auto"/>
                <w:szCs w:val="21"/>
              </w:rPr>
            </w:pPr>
          </w:p>
        </w:tc>
      </w:tr>
      <w:tr w14:paraId="664E2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6" w:type="dxa"/>
            <w:vMerge w:val="restart"/>
            <w:vAlign w:val="center"/>
          </w:tcPr>
          <w:p w14:paraId="5C850B5A">
            <w:pPr>
              <w:autoSpaceDE w:val="0"/>
              <w:autoSpaceDN w:val="0"/>
              <w:spacing w:line="280" w:lineRule="exact"/>
              <w:jc w:val="center"/>
              <w:rPr>
                <w:rFonts w:hint="default" w:ascii="Times New Roman" w:hAnsi="Times New Roman" w:eastAsia="仿宋_GB2312" w:cs="方正仿宋_GBK"/>
                <w:color w:val="auto"/>
                <w:szCs w:val="21"/>
                <w:lang w:val="en-US" w:eastAsia="zh-CN"/>
              </w:rPr>
            </w:pPr>
            <w:r>
              <w:rPr>
                <w:rFonts w:hint="eastAsia" w:ascii="Times New Roman" w:hAnsi="Times New Roman" w:eastAsia="仿宋_GB2312" w:cs="方正仿宋_GBK"/>
                <w:color w:val="auto"/>
                <w:szCs w:val="21"/>
                <w:lang w:val="en-US" w:eastAsia="zh-CN"/>
              </w:rPr>
              <w:t>15</w:t>
            </w:r>
          </w:p>
        </w:tc>
        <w:tc>
          <w:tcPr>
            <w:tcW w:w="1324" w:type="dxa"/>
            <w:vMerge w:val="restart"/>
            <w:vAlign w:val="center"/>
          </w:tcPr>
          <w:p w14:paraId="3D5BF620">
            <w:pPr>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对房屋市政工程质量、安全及文明施工情况的行政检查</w:t>
            </w:r>
          </w:p>
        </w:tc>
        <w:tc>
          <w:tcPr>
            <w:tcW w:w="794" w:type="dxa"/>
            <w:vMerge w:val="restart"/>
            <w:vAlign w:val="center"/>
          </w:tcPr>
          <w:p w14:paraId="1C0FAD38">
            <w:pPr>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苏州市相城区住房和城乡建设局</w:t>
            </w:r>
          </w:p>
        </w:tc>
        <w:tc>
          <w:tcPr>
            <w:tcW w:w="872" w:type="dxa"/>
            <w:vMerge w:val="restart"/>
            <w:vAlign w:val="center"/>
          </w:tcPr>
          <w:p w14:paraId="10D1CCCC">
            <w:pPr>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相城区建设工程质量安全监督中心</w:t>
            </w:r>
          </w:p>
        </w:tc>
        <w:tc>
          <w:tcPr>
            <w:tcW w:w="869" w:type="dxa"/>
            <w:vAlign w:val="center"/>
          </w:tcPr>
          <w:p w14:paraId="40BB412C">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自升式架设设施安装、拆卸单位</w:t>
            </w:r>
          </w:p>
        </w:tc>
        <w:tc>
          <w:tcPr>
            <w:tcW w:w="4962" w:type="dxa"/>
            <w:vAlign w:val="center"/>
          </w:tcPr>
          <w:p w14:paraId="4EC4D6BC">
            <w:pPr>
              <w:widowControl/>
              <w:autoSpaceDE w:val="0"/>
              <w:autoSpaceDN w:val="0"/>
              <w:spacing w:line="27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以上10万元以下的罚款；情节严重的，责令停业整顿，降低资质等级，直至吊销资质证书；造成损失的，依法承担赔偿责任：</w:t>
            </w:r>
          </w:p>
          <w:p w14:paraId="7E042B62">
            <w:pPr>
              <w:widowControl/>
              <w:autoSpaceDE w:val="0"/>
              <w:autoSpaceDN w:val="0"/>
              <w:spacing w:line="27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（一）未编制拆装方案、制定安全施工措施的。</w:t>
            </w:r>
          </w:p>
          <w:p w14:paraId="0E700B9E">
            <w:pPr>
              <w:widowControl/>
              <w:autoSpaceDE w:val="0"/>
              <w:autoSpaceDN w:val="0"/>
              <w:spacing w:line="27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施工起重机械和整体提升脚手架、模板等自升式架设设施安装、拆卸单位有前款规定的第（一）项、第（三）项行为，经有关部门或者单位职工提出后，对事故隐患仍不采取措施，因而发生重大伤亡事故或者造成其他严重后果，构成犯罪的，对直接责任人员，依照刑法有关规定追究刑事责任。</w:t>
            </w:r>
          </w:p>
          <w:p w14:paraId="5FAD9216">
            <w:pPr>
              <w:widowControl/>
              <w:autoSpaceDE w:val="0"/>
              <w:autoSpaceDN w:val="0"/>
              <w:spacing w:line="27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第六十八条　本条例规定的行政处罚，由建设行政主管部门或者其他有关部门依照法定职权决定。违反消防安全管理规定的行为，由公安消防机构依法处罚。有关法律、行政法规对建设工程安全生产违法行为的行政处罚决定机关另有规定的，从其规定。</w:t>
            </w:r>
          </w:p>
        </w:tc>
        <w:tc>
          <w:tcPr>
            <w:tcW w:w="992" w:type="dxa"/>
            <w:vAlign w:val="center"/>
          </w:tcPr>
          <w:p w14:paraId="5BD78EEB">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现场检查、书面检查</w:t>
            </w:r>
          </w:p>
        </w:tc>
        <w:tc>
          <w:tcPr>
            <w:tcW w:w="1139" w:type="dxa"/>
            <w:vAlign w:val="center"/>
          </w:tcPr>
          <w:p w14:paraId="0D6AB608">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双随机+重点检查</w:t>
            </w:r>
          </w:p>
        </w:tc>
        <w:tc>
          <w:tcPr>
            <w:tcW w:w="1491" w:type="dxa"/>
            <w:vAlign w:val="center"/>
          </w:tcPr>
          <w:p w14:paraId="3BF1C376">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320217009000</w:t>
            </w:r>
          </w:p>
        </w:tc>
        <w:tc>
          <w:tcPr>
            <w:tcW w:w="1481" w:type="dxa"/>
            <w:vAlign w:val="center"/>
          </w:tcPr>
          <w:p w14:paraId="01F6E9D1">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对安装、拆卸施工起重机械和整体提升脚手架、模板等自升式架设设施未编制拆装方案、制定安全施工措施的处罚</w:t>
            </w:r>
          </w:p>
        </w:tc>
        <w:tc>
          <w:tcPr>
            <w:tcW w:w="622" w:type="dxa"/>
            <w:vAlign w:val="center"/>
          </w:tcPr>
          <w:p w14:paraId="4E2417CB">
            <w:pPr>
              <w:widowControl/>
              <w:autoSpaceDE w:val="0"/>
              <w:autoSpaceDN w:val="0"/>
              <w:spacing w:line="280" w:lineRule="exact"/>
              <w:jc w:val="left"/>
              <w:rPr>
                <w:rFonts w:ascii="Times New Roman" w:hAnsi="Times New Roman" w:eastAsia="仿宋_GB2312" w:cs="方正仿宋_GBK"/>
                <w:color w:val="auto"/>
                <w:szCs w:val="21"/>
              </w:rPr>
            </w:pPr>
          </w:p>
        </w:tc>
      </w:tr>
      <w:tr w14:paraId="4AAAA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6" w:type="dxa"/>
            <w:vMerge w:val="continue"/>
            <w:vAlign w:val="center"/>
          </w:tcPr>
          <w:p w14:paraId="687F1E5B">
            <w:pPr>
              <w:widowControl/>
              <w:autoSpaceDE w:val="0"/>
              <w:autoSpaceDN w:val="0"/>
              <w:spacing w:line="280" w:lineRule="exact"/>
              <w:jc w:val="left"/>
              <w:rPr>
                <w:rFonts w:ascii="Times New Roman" w:hAnsi="Times New Roman" w:eastAsia="仿宋_GB2312" w:cs="方正仿宋_GBK"/>
                <w:color w:val="auto"/>
                <w:szCs w:val="21"/>
              </w:rPr>
            </w:pPr>
          </w:p>
        </w:tc>
        <w:tc>
          <w:tcPr>
            <w:tcW w:w="1324" w:type="dxa"/>
            <w:vMerge w:val="continue"/>
            <w:vAlign w:val="center"/>
          </w:tcPr>
          <w:p w14:paraId="18981AAF">
            <w:pPr>
              <w:widowControl/>
              <w:autoSpaceDE w:val="0"/>
              <w:autoSpaceDN w:val="0"/>
              <w:spacing w:line="280" w:lineRule="exact"/>
              <w:jc w:val="left"/>
              <w:rPr>
                <w:rFonts w:ascii="Times New Roman" w:hAnsi="Times New Roman" w:eastAsia="仿宋_GB2312" w:cs="方正仿宋_GBK"/>
                <w:color w:val="auto"/>
                <w:szCs w:val="21"/>
              </w:rPr>
            </w:pPr>
          </w:p>
        </w:tc>
        <w:tc>
          <w:tcPr>
            <w:tcW w:w="794" w:type="dxa"/>
            <w:vMerge w:val="continue"/>
            <w:vAlign w:val="center"/>
          </w:tcPr>
          <w:p w14:paraId="01FB0927">
            <w:pPr>
              <w:widowControl/>
              <w:autoSpaceDE w:val="0"/>
              <w:autoSpaceDN w:val="0"/>
              <w:spacing w:line="280" w:lineRule="exact"/>
              <w:jc w:val="left"/>
              <w:rPr>
                <w:rFonts w:ascii="Times New Roman" w:hAnsi="Times New Roman" w:eastAsia="仿宋_GB2312" w:cs="方正仿宋_GBK"/>
                <w:color w:val="auto"/>
                <w:szCs w:val="21"/>
              </w:rPr>
            </w:pPr>
          </w:p>
        </w:tc>
        <w:tc>
          <w:tcPr>
            <w:tcW w:w="872" w:type="dxa"/>
            <w:vMerge w:val="continue"/>
            <w:vAlign w:val="center"/>
          </w:tcPr>
          <w:p w14:paraId="551F782C">
            <w:pPr>
              <w:widowControl/>
              <w:autoSpaceDE w:val="0"/>
              <w:autoSpaceDN w:val="0"/>
              <w:spacing w:line="280" w:lineRule="exact"/>
              <w:jc w:val="left"/>
              <w:rPr>
                <w:rFonts w:ascii="Times New Roman" w:hAnsi="Times New Roman" w:eastAsia="仿宋_GB2312" w:cs="方正仿宋_GBK"/>
                <w:color w:val="auto"/>
                <w:szCs w:val="21"/>
              </w:rPr>
            </w:pPr>
          </w:p>
        </w:tc>
        <w:tc>
          <w:tcPr>
            <w:tcW w:w="869" w:type="dxa"/>
            <w:vAlign w:val="center"/>
          </w:tcPr>
          <w:p w14:paraId="584F28F5">
            <w:pPr>
              <w:widowControl/>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使用</w:t>
            </w:r>
          </w:p>
          <w:p w14:paraId="03E3A4E8">
            <w:pPr>
              <w:widowControl/>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单位</w:t>
            </w:r>
          </w:p>
        </w:tc>
        <w:tc>
          <w:tcPr>
            <w:tcW w:w="4962" w:type="dxa"/>
            <w:vAlign w:val="center"/>
          </w:tcPr>
          <w:p w14:paraId="44FDBEA8">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【规章】《建筑起重机械安全监督管理规定》</w:t>
            </w:r>
          </w:p>
          <w:p w14:paraId="5F06AACD">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第十七条  使用单位应当自建筑起重机械安装验收合格之日起30日内，将建筑起重机械安装验收材料、建筑起重机械安全管理制度、特种作业人员名单等，向工程所在地县级以上地方人民政府建设主管部门办理建筑起重机械使用登记。登记标志置于或附着于该设备的显著位置。</w:t>
            </w:r>
          </w:p>
        </w:tc>
        <w:tc>
          <w:tcPr>
            <w:tcW w:w="992" w:type="dxa"/>
            <w:vMerge w:val="restart"/>
            <w:vAlign w:val="center"/>
          </w:tcPr>
          <w:p w14:paraId="15409071">
            <w:pPr>
              <w:widowControl/>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书面</w:t>
            </w:r>
          </w:p>
          <w:p w14:paraId="089E92A2">
            <w:pPr>
              <w:widowControl/>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检查</w:t>
            </w:r>
          </w:p>
        </w:tc>
        <w:tc>
          <w:tcPr>
            <w:tcW w:w="1139" w:type="dxa"/>
            <w:vMerge w:val="restart"/>
            <w:vAlign w:val="center"/>
          </w:tcPr>
          <w:p w14:paraId="75006FA3">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1次+双随机</w:t>
            </w:r>
          </w:p>
        </w:tc>
        <w:tc>
          <w:tcPr>
            <w:tcW w:w="1491" w:type="dxa"/>
            <w:vAlign w:val="center"/>
          </w:tcPr>
          <w:p w14:paraId="5F892B36">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000117057000</w:t>
            </w:r>
          </w:p>
        </w:tc>
        <w:tc>
          <w:tcPr>
            <w:tcW w:w="1481" w:type="dxa"/>
            <w:vAlign w:val="center"/>
          </w:tcPr>
          <w:p w14:paraId="2C163E4B">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建筑起重机械使用登记</w:t>
            </w:r>
          </w:p>
        </w:tc>
        <w:tc>
          <w:tcPr>
            <w:tcW w:w="622" w:type="dxa"/>
            <w:vAlign w:val="center"/>
          </w:tcPr>
          <w:p w14:paraId="0A48FD13">
            <w:pPr>
              <w:widowControl/>
              <w:autoSpaceDE w:val="0"/>
              <w:autoSpaceDN w:val="0"/>
              <w:spacing w:line="280" w:lineRule="exact"/>
              <w:jc w:val="left"/>
              <w:rPr>
                <w:rFonts w:ascii="Times New Roman" w:hAnsi="Times New Roman" w:eastAsia="仿宋_GB2312" w:cs="方正仿宋_GBK"/>
                <w:color w:val="auto"/>
                <w:szCs w:val="21"/>
              </w:rPr>
            </w:pPr>
          </w:p>
        </w:tc>
      </w:tr>
      <w:tr w14:paraId="148668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6" w:type="dxa"/>
            <w:vMerge w:val="continue"/>
            <w:vAlign w:val="center"/>
          </w:tcPr>
          <w:p w14:paraId="6C3687C6">
            <w:pPr>
              <w:widowControl/>
              <w:autoSpaceDE w:val="0"/>
              <w:autoSpaceDN w:val="0"/>
              <w:spacing w:line="280" w:lineRule="exact"/>
              <w:jc w:val="left"/>
              <w:rPr>
                <w:rFonts w:ascii="Times New Roman" w:hAnsi="Times New Roman" w:eastAsia="仿宋_GB2312" w:cs="方正仿宋_GBK"/>
                <w:color w:val="auto"/>
                <w:szCs w:val="21"/>
              </w:rPr>
            </w:pPr>
          </w:p>
        </w:tc>
        <w:tc>
          <w:tcPr>
            <w:tcW w:w="1324" w:type="dxa"/>
            <w:vMerge w:val="continue"/>
            <w:vAlign w:val="center"/>
          </w:tcPr>
          <w:p w14:paraId="23C1AC63">
            <w:pPr>
              <w:widowControl/>
              <w:autoSpaceDE w:val="0"/>
              <w:autoSpaceDN w:val="0"/>
              <w:spacing w:line="280" w:lineRule="exact"/>
              <w:jc w:val="left"/>
              <w:rPr>
                <w:rFonts w:ascii="Times New Roman" w:hAnsi="Times New Roman" w:eastAsia="仿宋_GB2312" w:cs="方正仿宋_GBK"/>
                <w:color w:val="auto"/>
                <w:szCs w:val="21"/>
              </w:rPr>
            </w:pPr>
          </w:p>
        </w:tc>
        <w:tc>
          <w:tcPr>
            <w:tcW w:w="794" w:type="dxa"/>
            <w:vMerge w:val="continue"/>
            <w:vAlign w:val="center"/>
          </w:tcPr>
          <w:p w14:paraId="749891F2">
            <w:pPr>
              <w:widowControl/>
              <w:autoSpaceDE w:val="0"/>
              <w:autoSpaceDN w:val="0"/>
              <w:spacing w:line="280" w:lineRule="exact"/>
              <w:jc w:val="left"/>
              <w:rPr>
                <w:rFonts w:ascii="Times New Roman" w:hAnsi="Times New Roman" w:eastAsia="仿宋_GB2312" w:cs="方正仿宋_GBK"/>
                <w:color w:val="auto"/>
                <w:szCs w:val="21"/>
              </w:rPr>
            </w:pPr>
          </w:p>
        </w:tc>
        <w:tc>
          <w:tcPr>
            <w:tcW w:w="872" w:type="dxa"/>
            <w:vMerge w:val="continue"/>
            <w:vAlign w:val="center"/>
          </w:tcPr>
          <w:p w14:paraId="15937DB6">
            <w:pPr>
              <w:widowControl/>
              <w:autoSpaceDE w:val="0"/>
              <w:autoSpaceDN w:val="0"/>
              <w:spacing w:line="280" w:lineRule="exact"/>
              <w:jc w:val="left"/>
              <w:rPr>
                <w:rFonts w:ascii="Times New Roman" w:hAnsi="Times New Roman" w:eastAsia="仿宋_GB2312" w:cs="方正仿宋_GBK"/>
                <w:color w:val="auto"/>
                <w:szCs w:val="21"/>
              </w:rPr>
            </w:pPr>
          </w:p>
        </w:tc>
        <w:tc>
          <w:tcPr>
            <w:tcW w:w="869" w:type="dxa"/>
            <w:vAlign w:val="center"/>
          </w:tcPr>
          <w:p w14:paraId="401BC93E">
            <w:pPr>
              <w:widowControl/>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安装</w:t>
            </w:r>
          </w:p>
          <w:p w14:paraId="16BB86C9">
            <w:pPr>
              <w:widowControl/>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单位</w:t>
            </w:r>
          </w:p>
        </w:tc>
        <w:tc>
          <w:tcPr>
            <w:tcW w:w="4962" w:type="dxa"/>
            <w:vAlign w:val="center"/>
          </w:tcPr>
          <w:p w14:paraId="79B299F4">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【规章】《建筑起重机械安全监督管理规定》</w:t>
            </w:r>
          </w:p>
          <w:p w14:paraId="2719D55B">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第十二条  “安装单位应当履行下列安全职责：（五）将建筑起重机械安装、拆卸工程专项施工方案，安装、拆卸人员名单，安装、拆卸时间等材料报施工总承包单位和监理单位审核后，告知工程所在地县级以上地方人民政府建设主管部门”。</w:t>
            </w:r>
          </w:p>
        </w:tc>
        <w:tc>
          <w:tcPr>
            <w:tcW w:w="992" w:type="dxa"/>
            <w:vMerge w:val="continue"/>
            <w:vAlign w:val="center"/>
          </w:tcPr>
          <w:p w14:paraId="535C1D03">
            <w:pPr>
              <w:widowControl/>
              <w:autoSpaceDE w:val="0"/>
              <w:autoSpaceDN w:val="0"/>
              <w:spacing w:line="280" w:lineRule="exact"/>
              <w:jc w:val="center"/>
              <w:rPr>
                <w:rFonts w:ascii="Times New Roman" w:hAnsi="Times New Roman" w:eastAsia="仿宋_GB2312" w:cs="方正仿宋_GBK"/>
                <w:color w:val="auto"/>
                <w:szCs w:val="21"/>
              </w:rPr>
            </w:pPr>
          </w:p>
        </w:tc>
        <w:tc>
          <w:tcPr>
            <w:tcW w:w="1139" w:type="dxa"/>
            <w:vMerge w:val="continue"/>
            <w:vAlign w:val="center"/>
          </w:tcPr>
          <w:p w14:paraId="6A1DC972">
            <w:pPr>
              <w:widowControl/>
              <w:autoSpaceDE w:val="0"/>
              <w:autoSpaceDN w:val="0"/>
              <w:spacing w:line="280" w:lineRule="exact"/>
              <w:jc w:val="left"/>
              <w:rPr>
                <w:rFonts w:ascii="Times New Roman" w:hAnsi="Times New Roman" w:eastAsia="仿宋_GB2312" w:cs="方正仿宋_GBK"/>
                <w:color w:val="auto"/>
                <w:szCs w:val="21"/>
              </w:rPr>
            </w:pPr>
          </w:p>
        </w:tc>
        <w:tc>
          <w:tcPr>
            <w:tcW w:w="1491" w:type="dxa"/>
            <w:vAlign w:val="center"/>
          </w:tcPr>
          <w:p w14:paraId="67096628">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321017016000</w:t>
            </w:r>
          </w:p>
        </w:tc>
        <w:tc>
          <w:tcPr>
            <w:tcW w:w="1481" w:type="dxa"/>
            <w:vAlign w:val="center"/>
          </w:tcPr>
          <w:p w14:paraId="7A498876">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建筑起重机械设备安装和拆除情况的备案</w:t>
            </w:r>
          </w:p>
        </w:tc>
        <w:tc>
          <w:tcPr>
            <w:tcW w:w="622" w:type="dxa"/>
            <w:vAlign w:val="center"/>
          </w:tcPr>
          <w:p w14:paraId="1B7F3031">
            <w:pPr>
              <w:widowControl/>
              <w:autoSpaceDE w:val="0"/>
              <w:autoSpaceDN w:val="0"/>
              <w:spacing w:line="280" w:lineRule="exact"/>
              <w:jc w:val="left"/>
              <w:rPr>
                <w:rFonts w:ascii="Times New Roman" w:hAnsi="Times New Roman" w:eastAsia="仿宋_GB2312" w:cs="方正仿宋_GBK"/>
                <w:color w:val="auto"/>
                <w:szCs w:val="21"/>
              </w:rPr>
            </w:pPr>
          </w:p>
        </w:tc>
      </w:tr>
      <w:tr w14:paraId="7D01E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47" w:hRule="atLeast"/>
          <w:jc w:val="center"/>
        </w:trPr>
        <w:tc>
          <w:tcPr>
            <w:tcW w:w="536" w:type="dxa"/>
            <w:vAlign w:val="center"/>
          </w:tcPr>
          <w:p w14:paraId="6D9D1064">
            <w:pPr>
              <w:autoSpaceDE w:val="0"/>
              <w:autoSpaceDN w:val="0"/>
              <w:spacing w:line="280" w:lineRule="exact"/>
              <w:jc w:val="center"/>
              <w:rPr>
                <w:rFonts w:hint="default" w:ascii="Times New Roman" w:hAnsi="Times New Roman" w:eastAsia="仿宋_GB2312" w:cs="方正仿宋_GBK"/>
                <w:color w:val="auto"/>
                <w:szCs w:val="21"/>
                <w:lang w:val="en-US" w:eastAsia="zh-CN"/>
              </w:rPr>
            </w:pPr>
            <w:r>
              <w:rPr>
                <w:rFonts w:hint="eastAsia" w:ascii="Times New Roman" w:hAnsi="Times New Roman" w:eastAsia="仿宋_GB2312" w:cs="方正仿宋_GBK"/>
                <w:color w:val="auto"/>
                <w:szCs w:val="21"/>
                <w:lang w:val="en-US" w:eastAsia="zh-CN"/>
              </w:rPr>
              <w:t>15</w:t>
            </w:r>
          </w:p>
        </w:tc>
        <w:tc>
          <w:tcPr>
            <w:tcW w:w="1324" w:type="dxa"/>
            <w:vAlign w:val="center"/>
          </w:tcPr>
          <w:p w14:paraId="1A37A6B2">
            <w:pPr>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对房屋市政工程质量、安全及文明施工情况的行政检查</w:t>
            </w:r>
          </w:p>
        </w:tc>
        <w:tc>
          <w:tcPr>
            <w:tcW w:w="794" w:type="dxa"/>
            <w:vAlign w:val="center"/>
          </w:tcPr>
          <w:p w14:paraId="286A947D">
            <w:pPr>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苏州市相城区住房和城乡建设局</w:t>
            </w:r>
          </w:p>
        </w:tc>
        <w:tc>
          <w:tcPr>
            <w:tcW w:w="872" w:type="dxa"/>
            <w:vAlign w:val="center"/>
          </w:tcPr>
          <w:p w14:paraId="7C65C58B">
            <w:pPr>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相城区建设工程质量安全监督中心</w:t>
            </w:r>
          </w:p>
        </w:tc>
        <w:tc>
          <w:tcPr>
            <w:tcW w:w="869" w:type="dxa"/>
            <w:vAlign w:val="center"/>
          </w:tcPr>
          <w:p w14:paraId="1E78E785">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出租单位、自购建筑起重机械的使用单位</w:t>
            </w:r>
          </w:p>
        </w:tc>
        <w:tc>
          <w:tcPr>
            <w:tcW w:w="4962" w:type="dxa"/>
            <w:vAlign w:val="center"/>
          </w:tcPr>
          <w:p w14:paraId="23AB9449">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【规章】《建筑起重机械安全监督管理规定》</w:t>
            </w:r>
          </w:p>
          <w:p w14:paraId="61FBB8A5">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第七条　有下列情形之一的建筑起重机械，不得出租、使用：</w:t>
            </w:r>
          </w:p>
          <w:p w14:paraId="758780E6">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（四）没有完整安全技术档案的。</w:t>
            </w:r>
          </w:p>
          <w:p w14:paraId="3B5DAE68">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第八条　建筑起重机械有本规定第七条第（一）、（二）、（三）项情形之一的，出租单位或者自购建筑起重机械的使用单位应当予以报废，并向原备案机关办理注销手续。</w:t>
            </w:r>
          </w:p>
          <w:p w14:paraId="2C850B58">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第九条　出租单位、自购建筑起重机械的使用单位，应当建立建筑起重机械安全技术档案。</w:t>
            </w:r>
          </w:p>
          <w:p w14:paraId="0DB3BAA1">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建筑起重机械安全技术档案应当包括以下资料：</w:t>
            </w:r>
          </w:p>
          <w:p w14:paraId="7C864660">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（一）购销合同、制造许可证、产品合格证、制造监督检验证明、安装使用说明书、备案证明等原始资料；</w:t>
            </w:r>
          </w:p>
          <w:p w14:paraId="385C9E1B">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（二）定期检验报告、定期自行检查记录、定期维护保养记录、维修和技术改造记录、运行故障和生产安全事故记录、累计运转记录等运行资料；</w:t>
            </w:r>
          </w:p>
          <w:p w14:paraId="5CCFE052">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（三）历次安装验收资料。</w:t>
            </w:r>
          </w:p>
          <w:p w14:paraId="142FCA5F">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第二十八条　违反本规定，出租单位、自购建筑起重机械的使用单位，有下列行为之一的，由县级以上地方人民政府建设主管部门责令限期改正，予以警告，并处以5000元以上1万元以下罚款：</w:t>
            </w:r>
          </w:p>
          <w:p w14:paraId="1B780C2D">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（三）未按照规定建立建筑起重机械安全技术档案的。</w:t>
            </w:r>
          </w:p>
        </w:tc>
        <w:tc>
          <w:tcPr>
            <w:tcW w:w="992" w:type="dxa"/>
            <w:vAlign w:val="center"/>
          </w:tcPr>
          <w:p w14:paraId="061BE1DE">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现场检查、书面检查</w:t>
            </w:r>
          </w:p>
        </w:tc>
        <w:tc>
          <w:tcPr>
            <w:tcW w:w="1139" w:type="dxa"/>
            <w:vAlign w:val="center"/>
          </w:tcPr>
          <w:p w14:paraId="71083B88">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双随机+重点检查</w:t>
            </w:r>
          </w:p>
        </w:tc>
        <w:tc>
          <w:tcPr>
            <w:tcW w:w="1491" w:type="dxa"/>
            <w:vAlign w:val="center"/>
          </w:tcPr>
          <w:p w14:paraId="3FAE98EC">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320217639000</w:t>
            </w:r>
          </w:p>
        </w:tc>
        <w:tc>
          <w:tcPr>
            <w:tcW w:w="1481" w:type="dxa"/>
            <w:vAlign w:val="center"/>
          </w:tcPr>
          <w:p w14:paraId="7FAEED6D">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对建筑起重机械出租单位、自购使用单位未按照规定建立建筑起重机械安全技术档案的处罚</w:t>
            </w:r>
          </w:p>
        </w:tc>
        <w:tc>
          <w:tcPr>
            <w:tcW w:w="622" w:type="dxa"/>
            <w:vAlign w:val="center"/>
          </w:tcPr>
          <w:p w14:paraId="1AF16167">
            <w:pPr>
              <w:widowControl/>
              <w:autoSpaceDE w:val="0"/>
              <w:autoSpaceDN w:val="0"/>
              <w:spacing w:line="280" w:lineRule="exact"/>
              <w:jc w:val="left"/>
              <w:rPr>
                <w:rFonts w:ascii="Times New Roman" w:hAnsi="Times New Roman" w:eastAsia="仿宋_GB2312" w:cs="方正仿宋_GBK"/>
                <w:color w:val="auto"/>
                <w:szCs w:val="21"/>
              </w:rPr>
            </w:pPr>
          </w:p>
        </w:tc>
      </w:tr>
      <w:tr w14:paraId="3DFA13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5" w:hRule="atLeast"/>
          <w:jc w:val="center"/>
        </w:trPr>
        <w:tc>
          <w:tcPr>
            <w:tcW w:w="536" w:type="dxa"/>
            <w:vMerge w:val="restart"/>
            <w:vAlign w:val="center"/>
          </w:tcPr>
          <w:p w14:paraId="76652F67">
            <w:pPr>
              <w:autoSpaceDE w:val="0"/>
              <w:autoSpaceDN w:val="0"/>
              <w:spacing w:line="280" w:lineRule="exact"/>
              <w:jc w:val="center"/>
              <w:rPr>
                <w:rFonts w:hint="default" w:ascii="Times New Roman" w:hAnsi="Times New Roman" w:eastAsia="仿宋_GB2312" w:cs="方正仿宋_GBK"/>
                <w:color w:val="auto"/>
                <w:szCs w:val="21"/>
                <w:lang w:val="en-US" w:eastAsia="zh-CN"/>
              </w:rPr>
            </w:pPr>
            <w:r>
              <w:rPr>
                <w:rFonts w:hint="eastAsia" w:ascii="Times New Roman" w:hAnsi="Times New Roman" w:eastAsia="仿宋_GB2312" w:cs="方正仿宋_GBK"/>
                <w:color w:val="auto"/>
                <w:szCs w:val="21"/>
                <w:lang w:val="en-US" w:eastAsia="zh-CN"/>
              </w:rPr>
              <w:t>15</w:t>
            </w:r>
          </w:p>
        </w:tc>
        <w:tc>
          <w:tcPr>
            <w:tcW w:w="1324" w:type="dxa"/>
            <w:vMerge w:val="restart"/>
            <w:vAlign w:val="center"/>
          </w:tcPr>
          <w:p w14:paraId="4FB33D80">
            <w:pPr>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对房屋市政工程质量、安全及文明施工情况的行政检查</w:t>
            </w:r>
          </w:p>
        </w:tc>
        <w:tc>
          <w:tcPr>
            <w:tcW w:w="794" w:type="dxa"/>
            <w:vMerge w:val="restart"/>
            <w:vAlign w:val="center"/>
          </w:tcPr>
          <w:p w14:paraId="5623A9D5">
            <w:pPr>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苏州市相城区住房和城乡建设局</w:t>
            </w:r>
          </w:p>
        </w:tc>
        <w:tc>
          <w:tcPr>
            <w:tcW w:w="872" w:type="dxa"/>
            <w:vMerge w:val="restart"/>
            <w:vAlign w:val="center"/>
          </w:tcPr>
          <w:p w14:paraId="25F2821D">
            <w:pPr>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相城区建设工程质量安全监督中心</w:t>
            </w:r>
          </w:p>
        </w:tc>
        <w:tc>
          <w:tcPr>
            <w:tcW w:w="869" w:type="dxa"/>
            <w:vMerge w:val="restart"/>
            <w:vAlign w:val="center"/>
          </w:tcPr>
          <w:p w14:paraId="0EBFF069">
            <w:pPr>
              <w:widowControl/>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安装</w:t>
            </w:r>
          </w:p>
          <w:p w14:paraId="5F09FFB4">
            <w:pPr>
              <w:widowControl/>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单位</w:t>
            </w:r>
          </w:p>
        </w:tc>
        <w:tc>
          <w:tcPr>
            <w:tcW w:w="4962" w:type="dxa"/>
            <w:vAlign w:val="center"/>
          </w:tcPr>
          <w:p w14:paraId="3E2F786D">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【规章】《建筑起重机械安全监督管理规定》</w:t>
            </w:r>
          </w:p>
          <w:p w14:paraId="7F39F371">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第十二条　安装单位应当履行下列安全职责：</w:t>
            </w:r>
          </w:p>
          <w:p w14:paraId="29E4AFE6">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（五）将建筑起重机械安装、拆卸工程专项施工方案，安装、拆卸人员名单，安装、拆卸时间等材料报施工总承包单位和监理单位审核后，告知工程所在地县级以上地方人民政府建设主管部门。</w:t>
            </w:r>
          </w:p>
          <w:p w14:paraId="2FF6392C">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第二十九条　违反本规定，安装单位有下列行为之一的，由县级以上地方人民政府建设主管部门责令限期改正，予以警告，并处以5000元以上3万元以下罚款：</w:t>
            </w:r>
          </w:p>
          <w:p w14:paraId="3B943D7E">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（一）未履行第十二条第（二）、（四）、（五）项安全职责的。</w:t>
            </w:r>
          </w:p>
        </w:tc>
        <w:tc>
          <w:tcPr>
            <w:tcW w:w="992" w:type="dxa"/>
            <w:vAlign w:val="center"/>
          </w:tcPr>
          <w:p w14:paraId="3276E884">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现场检查、书面检查</w:t>
            </w:r>
          </w:p>
        </w:tc>
        <w:tc>
          <w:tcPr>
            <w:tcW w:w="1139" w:type="dxa"/>
            <w:vAlign w:val="center"/>
          </w:tcPr>
          <w:p w14:paraId="0A273278">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1次+双随机</w:t>
            </w:r>
          </w:p>
        </w:tc>
        <w:tc>
          <w:tcPr>
            <w:tcW w:w="1491" w:type="dxa"/>
            <w:vAlign w:val="center"/>
          </w:tcPr>
          <w:p w14:paraId="7DF38C4C">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320217628000</w:t>
            </w:r>
          </w:p>
        </w:tc>
        <w:tc>
          <w:tcPr>
            <w:tcW w:w="1481" w:type="dxa"/>
            <w:vAlign w:val="center"/>
          </w:tcPr>
          <w:p w14:paraId="775DE4B5">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对建筑起重机械安装单位未将建筑起重机械安装、拆卸工程专项施工方案，安装、拆卸人员名单，安装、拆卸时间等材料报施工总承包单位和监理单位审核后，告知工程所在地县级以上地方人民政府建设主管部门的处罚</w:t>
            </w:r>
          </w:p>
        </w:tc>
        <w:tc>
          <w:tcPr>
            <w:tcW w:w="622" w:type="dxa"/>
            <w:vAlign w:val="center"/>
          </w:tcPr>
          <w:p w14:paraId="33AE9D1D">
            <w:pPr>
              <w:widowControl/>
              <w:autoSpaceDE w:val="0"/>
              <w:autoSpaceDN w:val="0"/>
              <w:spacing w:line="280" w:lineRule="exact"/>
              <w:jc w:val="left"/>
              <w:rPr>
                <w:rFonts w:ascii="Times New Roman" w:hAnsi="Times New Roman" w:eastAsia="仿宋_GB2312" w:cs="方正仿宋_GBK"/>
                <w:color w:val="auto"/>
                <w:szCs w:val="21"/>
              </w:rPr>
            </w:pPr>
          </w:p>
        </w:tc>
      </w:tr>
      <w:tr w14:paraId="4C6CCE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8" w:hRule="atLeast"/>
          <w:jc w:val="center"/>
        </w:trPr>
        <w:tc>
          <w:tcPr>
            <w:tcW w:w="536" w:type="dxa"/>
            <w:vMerge w:val="continue"/>
            <w:vAlign w:val="center"/>
          </w:tcPr>
          <w:p w14:paraId="691438BF">
            <w:pPr>
              <w:widowControl/>
              <w:autoSpaceDE w:val="0"/>
              <w:autoSpaceDN w:val="0"/>
              <w:spacing w:line="280" w:lineRule="exact"/>
              <w:jc w:val="left"/>
              <w:rPr>
                <w:rFonts w:ascii="Times New Roman" w:hAnsi="Times New Roman" w:eastAsia="仿宋_GB2312" w:cs="方正仿宋_GBK"/>
                <w:color w:val="auto"/>
                <w:szCs w:val="21"/>
              </w:rPr>
            </w:pPr>
          </w:p>
        </w:tc>
        <w:tc>
          <w:tcPr>
            <w:tcW w:w="1324" w:type="dxa"/>
            <w:vMerge w:val="continue"/>
            <w:vAlign w:val="center"/>
          </w:tcPr>
          <w:p w14:paraId="494F92F4">
            <w:pPr>
              <w:widowControl/>
              <w:autoSpaceDE w:val="0"/>
              <w:autoSpaceDN w:val="0"/>
              <w:spacing w:line="280" w:lineRule="exact"/>
              <w:jc w:val="left"/>
              <w:rPr>
                <w:rFonts w:ascii="Times New Roman" w:hAnsi="Times New Roman" w:eastAsia="仿宋_GB2312" w:cs="方正仿宋_GBK"/>
                <w:color w:val="auto"/>
                <w:szCs w:val="21"/>
              </w:rPr>
            </w:pPr>
          </w:p>
        </w:tc>
        <w:tc>
          <w:tcPr>
            <w:tcW w:w="794" w:type="dxa"/>
            <w:vMerge w:val="continue"/>
            <w:vAlign w:val="center"/>
          </w:tcPr>
          <w:p w14:paraId="138CE964">
            <w:pPr>
              <w:widowControl/>
              <w:autoSpaceDE w:val="0"/>
              <w:autoSpaceDN w:val="0"/>
              <w:spacing w:line="280" w:lineRule="exact"/>
              <w:jc w:val="left"/>
              <w:rPr>
                <w:rFonts w:ascii="Times New Roman" w:hAnsi="Times New Roman" w:eastAsia="仿宋_GB2312" w:cs="方正仿宋_GBK"/>
                <w:color w:val="auto"/>
                <w:szCs w:val="21"/>
              </w:rPr>
            </w:pPr>
          </w:p>
        </w:tc>
        <w:tc>
          <w:tcPr>
            <w:tcW w:w="872" w:type="dxa"/>
            <w:vMerge w:val="continue"/>
            <w:vAlign w:val="center"/>
          </w:tcPr>
          <w:p w14:paraId="4AB4FCF0">
            <w:pPr>
              <w:widowControl/>
              <w:autoSpaceDE w:val="0"/>
              <w:autoSpaceDN w:val="0"/>
              <w:spacing w:line="280" w:lineRule="exact"/>
              <w:jc w:val="left"/>
              <w:rPr>
                <w:rFonts w:ascii="Times New Roman" w:hAnsi="Times New Roman" w:eastAsia="仿宋_GB2312" w:cs="方正仿宋_GBK"/>
                <w:color w:val="auto"/>
                <w:szCs w:val="21"/>
              </w:rPr>
            </w:pPr>
          </w:p>
        </w:tc>
        <w:tc>
          <w:tcPr>
            <w:tcW w:w="869" w:type="dxa"/>
            <w:vMerge w:val="continue"/>
            <w:vAlign w:val="center"/>
          </w:tcPr>
          <w:p w14:paraId="754DEEC4">
            <w:pPr>
              <w:widowControl/>
              <w:autoSpaceDE w:val="0"/>
              <w:autoSpaceDN w:val="0"/>
              <w:spacing w:line="280" w:lineRule="exact"/>
              <w:jc w:val="center"/>
              <w:rPr>
                <w:rFonts w:ascii="Times New Roman" w:hAnsi="Times New Roman" w:eastAsia="仿宋_GB2312" w:cs="方正仿宋_GBK"/>
                <w:color w:val="auto"/>
                <w:szCs w:val="21"/>
              </w:rPr>
            </w:pPr>
          </w:p>
        </w:tc>
        <w:tc>
          <w:tcPr>
            <w:tcW w:w="4962" w:type="dxa"/>
            <w:vAlign w:val="center"/>
          </w:tcPr>
          <w:p w14:paraId="14DA2617">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【规章】《建筑起重机械安全监督管理规定》</w:t>
            </w:r>
          </w:p>
          <w:p w14:paraId="098B0D75">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第十二条　安装单位应当履行下列安全职责：</w:t>
            </w:r>
          </w:p>
          <w:p w14:paraId="1A7D9347">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（四）制定建筑起重机械安装、拆卸工程生产安全事故应急救援预案；</w:t>
            </w:r>
          </w:p>
          <w:p w14:paraId="6ADEEC5F">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第二十九条　违反本规定，安装单位有下列行为之一的，由县级以上地方人民政府建设主管部门责令限期改正，予以警告，并处以5000元以上3万元以下罚款：</w:t>
            </w:r>
          </w:p>
          <w:p w14:paraId="546CD1D5">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（一）未履行第十二条第（二）、（四）、（五）项安全职责的；</w:t>
            </w:r>
          </w:p>
        </w:tc>
        <w:tc>
          <w:tcPr>
            <w:tcW w:w="992" w:type="dxa"/>
            <w:vAlign w:val="center"/>
          </w:tcPr>
          <w:p w14:paraId="5740CFE9">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现场检查、书面检查</w:t>
            </w:r>
          </w:p>
        </w:tc>
        <w:tc>
          <w:tcPr>
            <w:tcW w:w="1139" w:type="dxa"/>
            <w:vAlign w:val="center"/>
          </w:tcPr>
          <w:p w14:paraId="7676885F">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双随机+重点检查</w:t>
            </w:r>
          </w:p>
        </w:tc>
        <w:tc>
          <w:tcPr>
            <w:tcW w:w="1491" w:type="dxa"/>
            <w:vAlign w:val="center"/>
          </w:tcPr>
          <w:p w14:paraId="436D70AA">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320217627000</w:t>
            </w:r>
          </w:p>
        </w:tc>
        <w:tc>
          <w:tcPr>
            <w:tcW w:w="1481" w:type="dxa"/>
            <w:vAlign w:val="center"/>
          </w:tcPr>
          <w:p w14:paraId="29B3023F">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对建筑起重机械安装单位未制定建筑起重机械安装、拆卸工程生产安全事故应急救援预案的处罚</w:t>
            </w:r>
          </w:p>
        </w:tc>
        <w:tc>
          <w:tcPr>
            <w:tcW w:w="622" w:type="dxa"/>
            <w:vAlign w:val="center"/>
          </w:tcPr>
          <w:p w14:paraId="1F44FD1C">
            <w:pPr>
              <w:widowControl/>
              <w:autoSpaceDE w:val="0"/>
              <w:autoSpaceDN w:val="0"/>
              <w:spacing w:line="280" w:lineRule="exact"/>
              <w:jc w:val="left"/>
              <w:rPr>
                <w:rFonts w:ascii="Times New Roman" w:hAnsi="Times New Roman" w:eastAsia="仿宋_GB2312" w:cs="方正仿宋_GBK"/>
                <w:color w:val="auto"/>
                <w:szCs w:val="21"/>
              </w:rPr>
            </w:pPr>
          </w:p>
        </w:tc>
      </w:tr>
      <w:tr w14:paraId="2A9EE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9" w:hRule="atLeast"/>
          <w:jc w:val="center"/>
        </w:trPr>
        <w:tc>
          <w:tcPr>
            <w:tcW w:w="536" w:type="dxa"/>
            <w:vMerge w:val="restart"/>
            <w:vAlign w:val="center"/>
          </w:tcPr>
          <w:p w14:paraId="5BEA4FD6">
            <w:pPr>
              <w:autoSpaceDE w:val="0"/>
              <w:autoSpaceDN w:val="0"/>
              <w:spacing w:line="280" w:lineRule="exact"/>
              <w:jc w:val="center"/>
              <w:rPr>
                <w:rFonts w:hint="default" w:ascii="Times New Roman" w:hAnsi="Times New Roman" w:eastAsia="仿宋_GB2312" w:cs="方正仿宋_GBK"/>
                <w:color w:val="auto"/>
                <w:szCs w:val="21"/>
                <w:lang w:val="en-US" w:eastAsia="zh-CN"/>
              </w:rPr>
            </w:pPr>
            <w:r>
              <w:rPr>
                <w:rFonts w:hint="eastAsia" w:ascii="Times New Roman" w:hAnsi="Times New Roman" w:eastAsia="仿宋_GB2312" w:cs="方正仿宋_GBK"/>
                <w:color w:val="auto"/>
                <w:szCs w:val="21"/>
                <w:lang w:val="en-US" w:eastAsia="zh-CN"/>
              </w:rPr>
              <w:t>15</w:t>
            </w:r>
          </w:p>
        </w:tc>
        <w:tc>
          <w:tcPr>
            <w:tcW w:w="1324" w:type="dxa"/>
            <w:vMerge w:val="restart"/>
            <w:vAlign w:val="center"/>
          </w:tcPr>
          <w:p w14:paraId="6079CFBA">
            <w:pPr>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对房屋市政工程质量、安全及文明施工情况的行政检查</w:t>
            </w:r>
          </w:p>
        </w:tc>
        <w:tc>
          <w:tcPr>
            <w:tcW w:w="794" w:type="dxa"/>
            <w:vMerge w:val="restart"/>
            <w:vAlign w:val="center"/>
          </w:tcPr>
          <w:p w14:paraId="304A8CFA">
            <w:pPr>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苏州市相城区住房和城乡建设局</w:t>
            </w:r>
          </w:p>
        </w:tc>
        <w:tc>
          <w:tcPr>
            <w:tcW w:w="872" w:type="dxa"/>
            <w:vMerge w:val="restart"/>
            <w:vAlign w:val="center"/>
          </w:tcPr>
          <w:p w14:paraId="17214E1F">
            <w:pPr>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相城区建设工程质量安全监督中心</w:t>
            </w:r>
          </w:p>
        </w:tc>
        <w:tc>
          <w:tcPr>
            <w:tcW w:w="869" w:type="dxa"/>
            <w:vAlign w:val="center"/>
          </w:tcPr>
          <w:p w14:paraId="161ABD4B">
            <w:pPr>
              <w:widowControl/>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安装</w:t>
            </w:r>
          </w:p>
          <w:p w14:paraId="3A5BD3EE">
            <w:pPr>
              <w:widowControl/>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单位</w:t>
            </w:r>
          </w:p>
        </w:tc>
        <w:tc>
          <w:tcPr>
            <w:tcW w:w="4962" w:type="dxa"/>
            <w:vAlign w:val="center"/>
          </w:tcPr>
          <w:p w14:paraId="7AAD4E12">
            <w:pPr>
              <w:widowControl/>
              <w:autoSpaceDE w:val="0"/>
              <w:autoSpaceDN w:val="0"/>
              <w:spacing w:line="25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【规章】《建筑起重机械安全监督管理规定》</w:t>
            </w:r>
          </w:p>
          <w:p w14:paraId="0AE4098A">
            <w:pPr>
              <w:widowControl/>
              <w:autoSpaceDE w:val="0"/>
              <w:autoSpaceDN w:val="0"/>
              <w:spacing w:line="25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第十二条　安装单位应当履行下列安全职责：</w:t>
            </w:r>
          </w:p>
          <w:p w14:paraId="4F01644B">
            <w:pPr>
              <w:widowControl/>
              <w:autoSpaceDE w:val="0"/>
              <w:autoSpaceDN w:val="0"/>
              <w:spacing w:line="25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（二）按照安全技术标准及安装使用说明书等检查建筑起重机械及现场施工条件；</w:t>
            </w:r>
          </w:p>
          <w:p w14:paraId="638B8FF3">
            <w:pPr>
              <w:widowControl/>
              <w:autoSpaceDE w:val="0"/>
              <w:autoSpaceDN w:val="0"/>
              <w:spacing w:line="25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第二十九条　违反本规定，安装单位有下列行为之一的，由县级以上地方人民政府建设主管部门责令限期改正，予以警告，并处以5000元以上3万元以下罚款：</w:t>
            </w:r>
          </w:p>
          <w:p w14:paraId="243292DB">
            <w:pPr>
              <w:widowControl/>
              <w:autoSpaceDE w:val="0"/>
              <w:autoSpaceDN w:val="0"/>
              <w:spacing w:line="25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（一）未履行第十二条第（二）、（四）、（五）项安全职责的；</w:t>
            </w:r>
          </w:p>
        </w:tc>
        <w:tc>
          <w:tcPr>
            <w:tcW w:w="992" w:type="dxa"/>
            <w:vMerge w:val="restart"/>
            <w:vAlign w:val="center"/>
          </w:tcPr>
          <w:p w14:paraId="3ACF72DD">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现场检查、书面检查</w:t>
            </w:r>
          </w:p>
        </w:tc>
        <w:tc>
          <w:tcPr>
            <w:tcW w:w="1139" w:type="dxa"/>
            <w:vMerge w:val="restart"/>
            <w:vAlign w:val="center"/>
          </w:tcPr>
          <w:p w14:paraId="723A092B">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双随机+重点检查</w:t>
            </w:r>
          </w:p>
        </w:tc>
        <w:tc>
          <w:tcPr>
            <w:tcW w:w="1491" w:type="dxa"/>
            <w:vAlign w:val="center"/>
          </w:tcPr>
          <w:p w14:paraId="7B4CB593">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320217598000</w:t>
            </w:r>
          </w:p>
        </w:tc>
        <w:tc>
          <w:tcPr>
            <w:tcW w:w="1481" w:type="dxa"/>
            <w:vAlign w:val="center"/>
          </w:tcPr>
          <w:p w14:paraId="28A09996">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对建筑起重机械安装单位未按照安全技术标准及安装使用说明书等检查建筑起重机械及现场施工条件的处罚</w:t>
            </w:r>
          </w:p>
        </w:tc>
        <w:tc>
          <w:tcPr>
            <w:tcW w:w="622" w:type="dxa"/>
            <w:vAlign w:val="center"/>
          </w:tcPr>
          <w:p w14:paraId="010B72D2">
            <w:pPr>
              <w:widowControl/>
              <w:autoSpaceDE w:val="0"/>
              <w:autoSpaceDN w:val="0"/>
              <w:spacing w:line="280" w:lineRule="exact"/>
              <w:jc w:val="left"/>
              <w:rPr>
                <w:rFonts w:ascii="Times New Roman" w:hAnsi="Times New Roman" w:eastAsia="仿宋_GB2312" w:cs="方正仿宋_GBK"/>
                <w:color w:val="auto"/>
                <w:szCs w:val="21"/>
              </w:rPr>
            </w:pPr>
          </w:p>
        </w:tc>
      </w:tr>
      <w:tr w14:paraId="623D2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8" w:hRule="atLeast"/>
          <w:jc w:val="center"/>
        </w:trPr>
        <w:tc>
          <w:tcPr>
            <w:tcW w:w="536" w:type="dxa"/>
            <w:vMerge w:val="continue"/>
            <w:vAlign w:val="center"/>
          </w:tcPr>
          <w:p w14:paraId="229F73BC">
            <w:pPr>
              <w:widowControl/>
              <w:autoSpaceDE w:val="0"/>
              <w:autoSpaceDN w:val="0"/>
              <w:spacing w:line="280" w:lineRule="exact"/>
              <w:jc w:val="left"/>
              <w:rPr>
                <w:rFonts w:ascii="Times New Roman" w:hAnsi="Times New Roman" w:eastAsia="仿宋_GB2312" w:cs="方正仿宋_GBK"/>
                <w:color w:val="auto"/>
                <w:szCs w:val="21"/>
              </w:rPr>
            </w:pPr>
          </w:p>
        </w:tc>
        <w:tc>
          <w:tcPr>
            <w:tcW w:w="1324" w:type="dxa"/>
            <w:vMerge w:val="continue"/>
            <w:vAlign w:val="center"/>
          </w:tcPr>
          <w:p w14:paraId="71C2DD17">
            <w:pPr>
              <w:widowControl/>
              <w:autoSpaceDE w:val="0"/>
              <w:autoSpaceDN w:val="0"/>
              <w:spacing w:line="280" w:lineRule="exact"/>
              <w:jc w:val="left"/>
              <w:rPr>
                <w:rFonts w:ascii="Times New Roman" w:hAnsi="Times New Roman" w:eastAsia="仿宋_GB2312" w:cs="方正仿宋_GBK"/>
                <w:color w:val="auto"/>
                <w:szCs w:val="21"/>
              </w:rPr>
            </w:pPr>
          </w:p>
        </w:tc>
        <w:tc>
          <w:tcPr>
            <w:tcW w:w="794" w:type="dxa"/>
            <w:vMerge w:val="continue"/>
            <w:vAlign w:val="center"/>
          </w:tcPr>
          <w:p w14:paraId="215E1282">
            <w:pPr>
              <w:widowControl/>
              <w:autoSpaceDE w:val="0"/>
              <w:autoSpaceDN w:val="0"/>
              <w:spacing w:line="280" w:lineRule="exact"/>
              <w:jc w:val="left"/>
              <w:rPr>
                <w:rFonts w:ascii="Times New Roman" w:hAnsi="Times New Roman" w:eastAsia="仿宋_GB2312" w:cs="方正仿宋_GBK"/>
                <w:color w:val="auto"/>
                <w:szCs w:val="21"/>
              </w:rPr>
            </w:pPr>
          </w:p>
        </w:tc>
        <w:tc>
          <w:tcPr>
            <w:tcW w:w="872" w:type="dxa"/>
            <w:vMerge w:val="continue"/>
            <w:vAlign w:val="center"/>
          </w:tcPr>
          <w:p w14:paraId="28B82033">
            <w:pPr>
              <w:widowControl/>
              <w:autoSpaceDE w:val="0"/>
              <w:autoSpaceDN w:val="0"/>
              <w:spacing w:line="280" w:lineRule="exact"/>
              <w:jc w:val="left"/>
              <w:rPr>
                <w:rFonts w:ascii="Times New Roman" w:hAnsi="Times New Roman" w:eastAsia="仿宋_GB2312" w:cs="方正仿宋_GBK"/>
                <w:color w:val="auto"/>
                <w:szCs w:val="21"/>
              </w:rPr>
            </w:pPr>
          </w:p>
        </w:tc>
        <w:tc>
          <w:tcPr>
            <w:tcW w:w="869" w:type="dxa"/>
            <w:vMerge w:val="restart"/>
            <w:vAlign w:val="center"/>
          </w:tcPr>
          <w:p w14:paraId="203D6A5D">
            <w:pPr>
              <w:widowControl/>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使用</w:t>
            </w:r>
          </w:p>
          <w:p w14:paraId="34F42C89">
            <w:pPr>
              <w:widowControl/>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单位</w:t>
            </w:r>
          </w:p>
        </w:tc>
        <w:tc>
          <w:tcPr>
            <w:tcW w:w="4962" w:type="dxa"/>
            <w:vAlign w:val="center"/>
          </w:tcPr>
          <w:p w14:paraId="361C14CB">
            <w:pPr>
              <w:widowControl/>
              <w:autoSpaceDE w:val="0"/>
              <w:autoSpaceDN w:val="0"/>
              <w:spacing w:line="24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【规章】《建筑起重机械安全监督管理规定》</w:t>
            </w:r>
          </w:p>
          <w:p w14:paraId="02C73E1F">
            <w:pPr>
              <w:widowControl/>
              <w:autoSpaceDE w:val="0"/>
              <w:autoSpaceDN w:val="0"/>
              <w:spacing w:line="24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第十八条　使用单位应当履行下列安全职责：</w:t>
            </w:r>
          </w:p>
          <w:p w14:paraId="3A32C798">
            <w:pPr>
              <w:widowControl/>
              <w:autoSpaceDE w:val="0"/>
              <w:autoSpaceDN w:val="0"/>
              <w:spacing w:line="24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（五）指定专职设备管理人员、专职安全生产管理人员进行现场监督检查。</w:t>
            </w:r>
          </w:p>
          <w:p w14:paraId="2014C112">
            <w:pPr>
              <w:widowControl/>
              <w:autoSpaceDE w:val="0"/>
              <w:autoSpaceDN w:val="0"/>
              <w:spacing w:line="24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第三十条  违反本规定，使用单位有下列行为之一的，由县级以上地方人民政府建设主管部门责令限期改正，予以警告，并处以5000元以上3万元以下罚款：</w:t>
            </w:r>
          </w:p>
          <w:p w14:paraId="0138750F">
            <w:pPr>
              <w:widowControl/>
              <w:autoSpaceDE w:val="0"/>
              <w:autoSpaceDN w:val="0"/>
              <w:spacing w:line="24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（二）未指定专职设备管理人员进行现场监督检查的。</w:t>
            </w:r>
          </w:p>
        </w:tc>
        <w:tc>
          <w:tcPr>
            <w:tcW w:w="992" w:type="dxa"/>
            <w:vMerge w:val="continue"/>
            <w:vAlign w:val="center"/>
          </w:tcPr>
          <w:p w14:paraId="4214D406">
            <w:pPr>
              <w:widowControl/>
              <w:autoSpaceDE w:val="0"/>
              <w:autoSpaceDN w:val="0"/>
              <w:spacing w:line="280" w:lineRule="exact"/>
              <w:jc w:val="left"/>
              <w:rPr>
                <w:rFonts w:ascii="Times New Roman" w:hAnsi="Times New Roman" w:eastAsia="仿宋_GB2312" w:cs="方正仿宋_GBK"/>
                <w:color w:val="auto"/>
                <w:szCs w:val="21"/>
              </w:rPr>
            </w:pPr>
          </w:p>
        </w:tc>
        <w:tc>
          <w:tcPr>
            <w:tcW w:w="1139" w:type="dxa"/>
            <w:vMerge w:val="continue"/>
            <w:vAlign w:val="center"/>
          </w:tcPr>
          <w:p w14:paraId="2834CC9B">
            <w:pPr>
              <w:widowControl/>
              <w:autoSpaceDE w:val="0"/>
              <w:autoSpaceDN w:val="0"/>
              <w:spacing w:line="280" w:lineRule="exact"/>
              <w:jc w:val="left"/>
              <w:rPr>
                <w:rFonts w:ascii="Times New Roman" w:hAnsi="Times New Roman" w:eastAsia="仿宋_GB2312" w:cs="方正仿宋_GBK"/>
                <w:color w:val="auto"/>
                <w:szCs w:val="21"/>
              </w:rPr>
            </w:pPr>
          </w:p>
        </w:tc>
        <w:tc>
          <w:tcPr>
            <w:tcW w:w="1491" w:type="dxa"/>
            <w:vAlign w:val="center"/>
          </w:tcPr>
          <w:p w14:paraId="13BE1FB6">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320217540000</w:t>
            </w:r>
          </w:p>
        </w:tc>
        <w:tc>
          <w:tcPr>
            <w:tcW w:w="1481" w:type="dxa"/>
            <w:vAlign w:val="center"/>
          </w:tcPr>
          <w:p w14:paraId="6BB85C67">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对建筑起重机械使用单位未指定专职设备管理人员进行现场监督检查的处罚</w:t>
            </w:r>
          </w:p>
        </w:tc>
        <w:tc>
          <w:tcPr>
            <w:tcW w:w="622" w:type="dxa"/>
            <w:vAlign w:val="center"/>
          </w:tcPr>
          <w:p w14:paraId="5FB7BF2D">
            <w:pPr>
              <w:widowControl/>
              <w:autoSpaceDE w:val="0"/>
              <w:autoSpaceDN w:val="0"/>
              <w:spacing w:line="280" w:lineRule="exact"/>
              <w:jc w:val="left"/>
              <w:rPr>
                <w:rFonts w:ascii="Times New Roman" w:hAnsi="Times New Roman" w:eastAsia="仿宋_GB2312" w:cs="方正仿宋_GBK"/>
                <w:color w:val="auto"/>
                <w:szCs w:val="21"/>
              </w:rPr>
            </w:pPr>
          </w:p>
        </w:tc>
      </w:tr>
      <w:tr w14:paraId="1A4D36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6" w:type="dxa"/>
            <w:vMerge w:val="continue"/>
            <w:vAlign w:val="center"/>
          </w:tcPr>
          <w:p w14:paraId="1CF4C181">
            <w:pPr>
              <w:widowControl/>
              <w:autoSpaceDE w:val="0"/>
              <w:autoSpaceDN w:val="0"/>
              <w:spacing w:line="280" w:lineRule="exact"/>
              <w:jc w:val="left"/>
              <w:rPr>
                <w:rFonts w:ascii="Times New Roman" w:hAnsi="Times New Roman" w:eastAsia="仿宋_GB2312" w:cs="方正仿宋_GBK"/>
                <w:color w:val="auto"/>
                <w:szCs w:val="21"/>
              </w:rPr>
            </w:pPr>
          </w:p>
        </w:tc>
        <w:tc>
          <w:tcPr>
            <w:tcW w:w="1324" w:type="dxa"/>
            <w:vMerge w:val="continue"/>
            <w:vAlign w:val="center"/>
          </w:tcPr>
          <w:p w14:paraId="7B859C4A">
            <w:pPr>
              <w:widowControl/>
              <w:autoSpaceDE w:val="0"/>
              <w:autoSpaceDN w:val="0"/>
              <w:spacing w:line="280" w:lineRule="exact"/>
              <w:jc w:val="left"/>
              <w:rPr>
                <w:rFonts w:ascii="Times New Roman" w:hAnsi="Times New Roman" w:eastAsia="仿宋_GB2312" w:cs="方正仿宋_GBK"/>
                <w:color w:val="auto"/>
                <w:szCs w:val="21"/>
              </w:rPr>
            </w:pPr>
          </w:p>
        </w:tc>
        <w:tc>
          <w:tcPr>
            <w:tcW w:w="794" w:type="dxa"/>
            <w:vMerge w:val="continue"/>
            <w:vAlign w:val="center"/>
          </w:tcPr>
          <w:p w14:paraId="3C644369">
            <w:pPr>
              <w:widowControl/>
              <w:autoSpaceDE w:val="0"/>
              <w:autoSpaceDN w:val="0"/>
              <w:spacing w:line="280" w:lineRule="exact"/>
              <w:jc w:val="left"/>
              <w:rPr>
                <w:rFonts w:ascii="Times New Roman" w:hAnsi="Times New Roman" w:eastAsia="仿宋_GB2312" w:cs="方正仿宋_GBK"/>
                <w:color w:val="auto"/>
                <w:szCs w:val="21"/>
              </w:rPr>
            </w:pPr>
          </w:p>
        </w:tc>
        <w:tc>
          <w:tcPr>
            <w:tcW w:w="872" w:type="dxa"/>
            <w:vMerge w:val="continue"/>
            <w:vAlign w:val="center"/>
          </w:tcPr>
          <w:p w14:paraId="4DF03003">
            <w:pPr>
              <w:widowControl/>
              <w:autoSpaceDE w:val="0"/>
              <w:autoSpaceDN w:val="0"/>
              <w:spacing w:line="280" w:lineRule="exact"/>
              <w:jc w:val="left"/>
              <w:rPr>
                <w:rFonts w:ascii="Times New Roman" w:hAnsi="Times New Roman" w:eastAsia="仿宋_GB2312" w:cs="方正仿宋_GBK"/>
                <w:color w:val="auto"/>
                <w:szCs w:val="21"/>
              </w:rPr>
            </w:pPr>
          </w:p>
        </w:tc>
        <w:tc>
          <w:tcPr>
            <w:tcW w:w="869" w:type="dxa"/>
            <w:vMerge w:val="continue"/>
            <w:vAlign w:val="center"/>
          </w:tcPr>
          <w:p w14:paraId="3ECCF3C7">
            <w:pPr>
              <w:widowControl/>
              <w:autoSpaceDE w:val="0"/>
              <w:autoSpaceDN w:val="0"/>
              <w:spacing w:line="280" w:lineRule="exact"/>
              <w:jc w:val="center"/>
              <w:rPr>
                <w:rFonts w:ascii="Times New Roman" w:hAnsi="Times New Roman" w:eastAsia="仿宋_GB2312" w:cs="方正仿宋_GBK"/>
                <w:color w:val="auto"/>
                <w:szCs w:val="21"/>
              </w:rPr>
            </w:pPr>
          </w:p>
        </w:tc>
        <w:tc>
          <w:tcPr>
            <w:tcW w:w="4962" w:type="dxa"/>
            <w:vAlign w:val="center"/>
          </w:tcPr>
          <w:p w14:paraId="6BB1D6F2">
            <w:pPr>
              <w:widowControl/>
              <w:autoSpaceDE w:val="0"/>
              <w:autoSpaceDN w:val="0"/>
              <w:spacing w:line="24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【规章】《建筑起重机械安全监督管理规定》</w:t>
            </w:r>
          </w:p>
          <w:p w14:paraId="65853692">
            <w:pPr>
              <w:widowControl/>
              <w:autoSpaceDE w:val="0"/>
              <w:autoSpaceDN w:val="0"/>
              <w:spacing w:line="24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第十八条　使用单位应当履行下列安全职责：</w:t>
            </w:r>
          </w:p>
          <w:p w14:paraId="63488011">
            <w:pPr>
              <w:widowControl/>
              <w:autoSpaceDE w:val="0"/>
              <w:autoSpaceDN w:val="0"/>
              <w:spacing w:line="24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（六）建筑起重机械出现故障或者发生异常情况的，立即停止使用，消除故障和事故隐患后，方可重新投入使用。</w:t>
            </w:r>
          </w:p>
          <w:p w14:paraId="6C5078B1">
            <w:pPr>
              <w:widowControl/>
              <w:autoSpaceDE w:val="0"/>
              <w:autoSpaceDN w:val="0"/>
              <w:spacing w:line="24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第三十条　违反本规定，使用单位有下列行为之一的，由县级以上地方人民政府建设主管部门责令限期改正，予以警告，并处以5000元以上3万元以下罚款：</w:t>
            </w:r>
          </w:p>
          <w:p w14:paraId="4C9A91D6">
            <w:pPr>
              <w:widowControl/>
              <w:autoSpaceDE w:val="0"/>
              <w:autoSpaceDN w:val="0"/>
              <w:spacing w:line="24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（一）未履行第十八条第（一）、（二）、（四）、（六）项安全职责的。</w:t>
            </w:r>
          </w:p>
        </w:tc>
        <w:tc>
          <w:tcPr>
            <w:tcW w:w="992" w:type="dxa"/>
            <w:vMerge w:val="continue"/>
            <w:vAlign w:val="center"/>
          </w:tcPr>
          <w:p w14:paraId="3361F3D1">
            <w:pPr>
              <w:widowControl/>
              <w:autoSpaceDE w:val="0"/>
              <w:autoSpaceDN w:val="0"/>
              <w:spacing w:line="280" w:lineRule="exact"/>
              <w:jc w:val="left"/>
              <w:rPr>
                <w:rFonts w:ascii="Times New Roman" w:hAnsi="Times New Roman" w:eastAsia="仿宋_GB2312" w:cs="方正仿宋_GBK"/>
                <w:color w:val="auto"/>
                <w:szCs w:val="21"/>
              </w:rPr>
            </w:pPr>
          </w:p>
        </w:tc>
        <w:tc>
          <w:tcPr>
            <w:tcW w:w="1139" w:type="dxa"/>
            <w:vMerge w:val="continue"/>
            <w:vAlign w:val="center"/>
          </w:tcPr>
          <w:p w14:paraId="73B93C7D">
            <w:pPr>
              <w:widowControl/>
              <w:autoSpaceDE w:val="0"/>
              <w:autoSpaceDN w:val="0"/>
              <w:spacing w:line="280" w:lineRule="exact"/>
              <w:jc w:val="left"/>
              <w:rPr>
                <w:rFonts w:ascii="Times New Roman" w:hAnsi="Times New Roman" w:eastAsia="仿宋_GB2312" w:cs="方正仿宋_GBK"/>
                <w:color w:val="auto"/>
                <w:szCs w:val="21"/>
              </w:rPr>
            </w:pPr>
          </w:p>
        </w:tc>
        <w:tc>
          <w:tcPr>
            <w:tcW w:w="1491" w:type="dxa"/>
            <w:vAlign w:val="center"/>
          </w:tcPr>
          <w:p w14:paraId="2F395FAB">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320217539000</w:t>
            </w:r>
          </w:p>
        </w:tc>
        <w:tc>
          <w:tcPr>
            <w:tcW w:w="1481" w:type="dxa"/>
            <w:vAlign w:val="center"/>
          </w:tcPr>
          <w:p w14:paraId="57B33634">
            <w:pPr>
              <w:widowControl/>
              <w:autoSpaceDE w:val="0"/>
              <w:autoSpaceDN w:val="0"/>
              <w:spacing w:line="25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对建筑起重机械使用单位未在建筑起重机械出现故障或者发生异常情况的，立即停止使用，消除故障和事故隐患后，方重新投入使用的处罚</w:t>
            </w:r>
          </w:p>
        </w:tc>
        <w:tc>
          <w:tcPr>
            <w:tcW w:w="622" w:type="dxa"/>
            <w:vAlign w:val="center"/>
          </w:tcPr>
          <w:p w14:paraId="3EE7ABC7">
            <w:pPr>
              <w:widowControl/>
              <w:autoSpaceDE w:val="0"/>
              <w:autoSpaceDN w:val="0"/>
              <w:spacing w:line="280" w:lineRule="exact"/>
              <w:jc w:val="left"/>
              <w:rPr>
                <w:rFonts w:ascii="Times New Roman" w:hAnsi="Times New Roman" w:eastAsia="仿宋_GB2312" w:cs="方正仿宋_GBK"/>
                <w:color w:val="auto"/>
                <w:szCs w:val="21"/>
              </w:rPr>
            </w:pPr>
          </w:p>
        </w:tc>
      </w:tr>
      <w:tr w14:paraId="2BDCF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6" w:type="dxa"/>
            <w:vMerge w:val="restart"/>
            <w:vAlign w:val="center"/>
          </w:tcPr>
          <w:p w14:paraId="193D0E0F">
            <w:pPr>
              <w:autoSpaceDE w:val="0"/>
              <w:autoSpaceDN w:val="0"/>
              <w:spacing w:line="280" w:lineRule="exact"/>
              <w:jc w:val="center"/>
              <w:rPr>
                <w:rFonts w:hint="default" w:ascii="Times New Roman" w:hAnsi="Times New Roman" w:eastAsia="仿宋_GB2312" w:cs="方正仿宋_GBK"/>
                <w:color w:val="auto"/>
                <w:szCs w:val="21"/>
                <w:lang w:val="en-US" w:eastAsia="zh-CN"/>
              </w:rPr>
            </w:pPr>
            <w:r>
              <w:rPr>
                <w:rFonts w:hint="eastAsia" w:ascii="Times New Roman" w:hAnsi="Times New Roman" w:eastAsia="仿宋_GB2312" w:cs="方正仿宋_GBK"/>
                <w:color w:val="auto"/>
                <w:szCs w:val="21"/>
                <w:lang w:val="en-US" w:eastAsia="zh-CN"/>
              </w:rPr>
              <w:t>15</w:t>
            </w:r>
          </w:p>
        </w:tc>
        <w:tc>
          <w:tcPr>
            <w:tcW w:w="1324" w:type="dxa"/>
            <w:vMerge w:val="restart"/>
            <w:vAlign w:val="center"/>
          </w:tcPr>
          <w:p w14:paraId="04A090B5">
            <w:pPr>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对房屋市政工程质量、安全及文明施工情况的行政检查</w:t>
            </w:r>
          </w:p>
        </w:tc>
        <w:tc>
          <w:tcPr>
            <w:tcW w:w="794" w:type="dxa"/>
            <w:vMerge w:val="restart"/>
            <w:vAlign w:val="center"/>
          </w:tcPr>
          <w:p w14:paraId="1360C711">
            <w:pPr>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苏州市相城区住房和城乡建设局</w:t>
            </w:r>
          </w:p>
        </w:tc>
        <w:tc>
          <w:tcPr>
            <w:tcW w:w="872" w:type="dxa"/>
            <w:vMerge w:val="restart"/>
            <w:vAlign w:val="center"/>
          </w:tcPr>
          <w:p w14:paraId="60965942">
            <w:pPr>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相城区建设工程质量安全监督中心</w:t>
            </w:r>
          </w:p>
        </w:tc>
        <w:tc>
          <w:tcPr>
            <w:tcW w:w="869" w:type="dxa"/>
            <w:vMerge w:val="restart"/>
            <w:vAlign w:val="center"/>
          </w:tcPr>
          <w:p w14:paraId="45B10453">
            <w:pPr>
              <w:widowControl/>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使用</w:t>
            </w:r>
          </w:p>
          <w:p w14:paraId="20B0D51D">
            <w:pPr>
              <w:widowControl/>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单位</w:t>
            </w:r>
          </w:p>
        </w:tc>
        <w:tc>
          <w:tcPr>
            <w:tcW w:w="4962" w:type="dxa"/>
            <w:vAlign w:val="center"/>
          </w:tcPr>
          <w:p w14:paraId="626BA97F">
            <w:pPr>
              <w:widowControl/>
              <w:autoSpaceDE w:val="0"/>
              <w:autoSpaceDN w:val="0"/>
              <w:spacing w:line="24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【规章】《建筑起重机械安全监督管理规定》</w:t>
            </w:r>
          </w:p>
          <w:p w14:paraId="5EF8CC21">
            <w:pPr>
              <w:widowControl/>
              <w:autoSpaceDE w:val="0"/>
              <w:autoSpaceDN w:val="0"/>
              <w:spacing w:line="240" w:lineRule="exact"/>
              <w:ind w:firstLine="420" w:firstLineChars="200"/>
              <w:jc w:val="left"/>
              <w:rPr>
                <w:rFonts w:hint="eastAsia" w:ascii="Times New Roman" w:hAnsi="Times New Roman" w:eastAsia="仿宋_GB2312" w:cs="方正仿宋_GBK"/>
                <w:color w:val="auto"/>
                <w:szCs w:val="21"/>
                <w:lang w:eastAsia="zh-CN"/>
              </w:rPr>
            </w:pPr>
            <w:r>
              <w:rPr>
                <w:rFonts w:hint="eastAsia" w:ascii="Times New Roman" w:hAnsi="Times New Roman" w:eastAsia="仿宋_GB2312" w:cs="方正仿宋_GBK"/>
                <w:color w:val="auto"/>
                <w:szCs w:val="21"/>
              </w:rPr>
              <w:t>第十八条　使用单位应当履行下列安全职责：</w:t>
            </w:r>
          </w:p>
          <w:p w14:paraId="5FA52A5B">
            <w:pPr>
              <w:widowControl/>
              <w:autoSpaceDE w:val="0"/>
              <w:autoSpaceDN w:val="0"/>
              <w:spacing w:line="24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（四）设置相应的设备管理机构或者配备专职的设备管理人员。</w:t>
            </w:r>
          </w:p>
          <w:p w14:paraId="4D79599C">
            <w:pPr>
              <w:widowControl/>
              <w:autoSpaceDE w:val="0"/>
              <w:autoSpaceDN w:val="0"/>
              <w:spacing w:line="24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第三十条　违反本规定，使用单位有下列行为之一的，由县级以上地方人民政府建设主管部门责令限期改正，予以警告，并处以5000元以上3万元以下罚款：</w:t>
            </w:r>
          </w:p>
          <w:p w14:paraId="745D2B98">
            <w:pPr>
              <w:widowControl/>
              <w:autoSpaceDE w:val="0"/>
              <w:autoSpaceDN w:val="0"/>
              <w:spacing w:line="24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（一）未履行第十八条第（一）、（二）、（四）、（六）项安全职责的。</w:t>
            </w:r>
          </w:p>
        </w:tc>
        <w:tc>
          <w:tcPr>
            <w:tcW w:w="992" w:type="dxa"/>
            <w:vMerge w:val="restart"/>
            <w:vAlign w:val="center"/>
          </w:tcPr>
          <w:p w14:paraId="69401645">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现场检查、书面检查</w:t>
            </w:r>
          </w:p>
        </w:tc>
        <w:tc>
          <w:tcPr>
            <w:tcW w:w="1139" w:type="dxa"/>
            <w:vMerge w:val="restart"/>
            <w:vAlign w:val="center"/>
          </w:tcPr>
          <w:p w14:paraId="258E813E">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双随机+重点检查</w:t>
            </w:r>
          </w:p>
        </w:tc>
        <w:tc>
          <w:tcPr>
            <w:tcW w:w="1491" w:type="dxa"/>
            <w:vAlign w:val="center"/>
          </w:tcPr>
          <w:p w14:paraId="1E16731D">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320217538000</w:t>
            </w:r>
          </w:p>
        </w:tc>
        <w:tc>
          <w:tcPr>
            <w:tcW w:w="1481" w:type="dxa"/>
            <w:vAlign w:val="center"/>
          </w:tcPr>
          <w:p w14:paraId="349AAD66">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对建筑起重机械使用单位未设置相应的设备管理机构或者配备专职的设备管理人员的处罚</w:t>
            </w:r>
          </w:p>
        </w:tc>
        <w:tc>
          <w:tcPr>
            <w:tcW w:w="622" w:type="dxa"/>
            <w:vAlign w:val="center"/>
          </w:tcPr>
          <w:p w14:paraId="073FFCAC">
            <w:pPr>
              <w:widowControl/>
              <w:autoSpaceDE w:val="0"/>
              <w:autoSpaceDN w:val="0"/>
              <w:spacing w:line="280" w:lineRule="exact"/>
              <w:jc w:val="left"/>
              <w:rPr>
                <w:rFonts w:ascii="Times New Roman" w:hAnsi="Times New Roman" w:eastAsia="仿宋_GB2312" w:cs="方正仿宋_GBK"/>
                <w:color w:val="auto"/>
                <w:szCs w:val="21"/>
              </w:rPr>
            </w:pPr>
          </w:p>
        </w:tc>
      </w:tr>
      <w:tr w14:paraId="1BD4ED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6" w:type="dxa"/>
            <w:vMerge w:val="continue"/>
            <w:vAlign w:val="center"/>
          </w:tcPr>
          <w:p w14:paraId="6C64D5FF">
            <w:pPr>
              <w:widowControl/>
              <w:autoSpaceDE w:val="0"/>
              <w:autoSpaceDN w:val="0"/>
              <w:spacing w:line="280" w:lineRule="exact"/>
              <w:jc w:val="left"/>
              <w:rPr>
                <w:rFonts w:ascii="Times New Roman" w:hAnsi="Times New Roman" w:eastAsia="仿宋_GB2312" w:cs="方正仿宋_GBK"/>
                <w:color w:val="auto"/>
                <w:szCs w:val="21"/>
              </w:rPr>
            </w:pPr>
          </w:p>
        </w:tc>
        <w:tc>
          <w:tcPr>
            <w:tcW w:w="1324" w:type="dxa"/>
            <w:vMerge w:val="continue"/>
            <w:vAlign w:val="center"/>
          </w:tcPr>
          <w:p w14:paraId="20BB144D">
            <w:pPr>
              <w:widowControl/>
              <w:autoSpaceDE w:val="0"/>
              <w:autoSpaceDN w:val="0"/>
              <w:spacing w:line="280" w:lineRule="exact"/>
              <w:jc w:val="left"/>
              <w:rPr>
                <w:rFonts w:ascii="Times New Roman" w:hAnsi="Times New Roman" w:eastAsia="仿宋_GB2312" w:cs="方正仿宋_GBK"/>
                <w:color w:val="auto"/>
                <w:szCs w:val="21"/>
              </w:rPr>
            </w:pPr>
          </w:p>
        </w:tc>
        <w:tc>
          <w:tcPr>
            <w:tcW w:w="794" w:type="dxa"/>
            <w:vMerge w:val="continue"/>
            <w:vAlign w:val="center"/>
          </w:tcPr>
          <w:p w14:paraId="610A5E2D">
            <w:pPr>
              <w:widowControl/>
              <w:autoSpaceDE w:val="0"/>
              <w:autoSpaceDN w:val="0"/>
              <w:spacing w:line="280" w:lineRule="exact"/>
              <w:jc w:val="left"/>
              <w:rPr>
                <w:rFonts w:ascii="Times New Roman" w:hAnsi="Times New Roman" w:eastAsia="仿宋_GB2312" w:cs="方正仿宋_GBK"/>
                <w:color w:val="auto"/>
                <w:szCs w:val="21"/>
              </w:rPr>
            </w:pPr>
          </w:p>
        </w:tc>
        <w:tc>
          <w:tcPr>
            <w:tcW w:w="872" w:type="dxa"/>
            <w:vMerge w:val="continue"/>
            <w:vAlign w:val="center"/>
          </w:tcPr>
          <w:p w14:paraId="67549ABA">
            <w:pPr>
              <w:widowControl/>
              <w:autoSpaceDE w:val="0"/>
              <w:autoSpaceDN w:val="0"/>
              <w:spacing w:line="280" w:lineRule="exact"/>
              <w:jc w:val="left"/>
              <w:rPr>
                <w:rFonts w:ascii="Times New Roman" w:hAnsi="Times New Roman" w:eastAsia="仿宋_GB2312" w:cs="方正仿宋_GBK"/>
                <w:color w:val="auto"/>
                <w:szCs w:val="21"/>
              </w:rPr>
            </w:pPr>
          </w:p>
        </w:tc>
        <w:tc>
          <w:tcPr>
            <w:tcW w:w="869" w:type="dxa"/>
            <w:vMerge w:val="continue"/>
            <w:vAlign w:val="center"/>
          </w:tcPr>
          <w:p w14:paraId="3D7FB167">
            <w:pPr>
              <w:widowControl/>
              <w:autoSpaceDE w:val="0"/>
              <w:autoSpaceDN w:val="0"/>
              <w:spacing w:line="280" w:lineRule="exact"/>
              <w:jc w:val="center"/>
              <w:rPr>
                <w:rFonts w:ascii="Times New Roman" w:hAnsi="Times New Roman" w:eastAsia="仿宋_GB2312" w:cs="方正仿宋_GBK"/>
                <w:color w:val="auto"/>
                <w:szCs w:val="21"/>
              </w:rPr>
            </w:pPr>
          </w:p>
        </w:tc>
        <w:tc>
          <w:tcPr>
            <w:tcW w:w="4962" w:type="dxa"/>
            <w:vAlign w:val="center"/>
          </w:tcPr>
          <w:p w14:paraId="42BBFC7F">
            <w:pPr>
              <w:widowControl/>
              <w:autoSpaceDE w:val="0"/>
              <w:autoSpaceDN w:val="0"/>
              <w:spacing w:line="24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【规章】《建筑起重机械安全监督管理规定》</w:t>
            </w:r>
          </w:p>
          <w:p w14:paraId="48CD0C1C">
            <w:pPr>
              <w:widowControl/>
              <w:autoSpaceDE w:val="0"/>
              <w:autoSpaceDN w:val="0"/>
              <w:spacing w:line="24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第十八条　使用单位应当履行下列安全职责：</w:t>
            </w:r>
          </w:p>
          <w:p w14:paraId="6F5163FB">
            <w:pPr>
              <w:widowControl/>
              <w:autoSpaceDE w:val="0"/>
              <w:autoSpaceDN w:val="0"/>
              <w:spacing w:line="24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（一）根据不同施工阶段、周围环境以及季节、气候的变化，对建筑起重机械采取相应的安全防护措施；</w:t>
            </w:r>
          </w:p>
          <w:p w14:paraId="5046608B">
            <w:pPr>
              <w:widowControl/>
              <w:autoSpaceDE w:val="0"/>
              <w:autoSpaceDN w:val="0"/>
              <w:spacing w:line="24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第三十条　违反本规定，使用单位有下列行为之一的，由县级以上地方人民政府建设主管部门责令限期改正，予以警告，并处以5000元以上3万元以下罚款：</w:t>
            </w:r>
          </w:p>
          <w:p w14:paraId="14DBF6DF">
            <w:pPr>
              <w:widowControl/>
              <w:autoSpaceDE w:val="0"/>
              <w:autoSpaceDN w:val="0"/>
              <w:spacing w:line="24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（一）未履行第十八条第（一）、（二）、（四）、（六）项安全职责的。</w:t>
            </w:r>
          </w:p>
        </w:tc>
        <w:tc>
          <w:tcPr>
            <w:tcW w:w="992" w:type="dxa"/>
            <w:vMerge w:val="continue"/>
            <w:vAlign w:val="center"/>
          </w:tcPr>
          <w:p w14:paraId="12FECF44">
            <w:pPr>
              <w:widowControl/>
              <w:autoSpaceDE w:val="0"/>
              <w:autoSpaceDN w:val="0"/>
              <w:spacing w:line="280" w:lineRule="exact"/>
              <w:jc w:val="left"/>
              <w:rPr>
                <w:rFonts w:ascii="Times New Roman" w:hAnsi="Times New Roman" w:eastAsia="仿宋_GB2312" w:cs="方正仿宋_GBK"/>
                <w:color w:val="auto"/>
                <w:szCs w:val="21"/>
              </w:rPr>
            </w:pPr>
          </w:p>
        </w:tc>
        <w:tc>
          <w:tcPr>
            <w:tcW w:w="1139" w:type="dxa"/>
            <w:vMerge w:val="continue"/>
            <w:vAlign w:val="center"/>
          </w:tcPr>
          <w:p w14:paraId="653C7CEC">
            <w:pPr>
              <w:widowControl/>
              <w:autoSpaceDE w:val="0"/>
              <w:autoSpaceDN w:val="0"/>
              <w:spacing w:line="280" w:lineRule="exact"/>
              <w:jc w:val="left"/>
              <w:rPr>
                <w:rFonts w:ascii="Times New Roman" w:hAnsi="Times New Roman" w:eastAsia="仿宋_GB2312" w:cs="方正仿宋_GBK"/>
                <w:color w:val="auto"/>
                <w:szCs w:val="21"/>
              </w:rPr>
            </w:pPr>
          </w:p>
        </w:tc>
        <w:tc>
          <w:tcPr>
            <w:tcW w:w="1491" w:type="dxa"/>
            <w:vAlign w:val="center"/>
          </w:tcPr>
          <w:p w14:paraId="651B2E21">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320217428000</w:t>
            </w:r>
          </w:p>
        </w:tc>
        <w:tc>
          <w:tcPr>
            <w:tcW w:w="1481" w:type="dxa"/>
            <w:vAlign w:val="center"/>
          </w:tcPr>
          <w:p w14:paraId="45B62E30">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对建筑起重机械使用单位未根据不同施工阶段、周围环境以及季节、气候的变化，对建筑起重机械采取相应的安全防护措施的处罚</w:t>
            </w:r>
          </w:p>
        </w:tc>
        <w:tc>
          <w:tcPr>
            <w:tcW w:w="622" w:type="dxa"/>
            <w:vAlign w:val="center"/>
          </w:tcPr>
          <w:p w14:paraId="25190477">
            <w:pPr>
              <w:widowControl/>
              <w:autoSpaceDE w:val="0"/>
              <w:autoSpaceDN w:val="0"/>
              <w:spacing w:line="280" w:lineRule="exact"/>
              <w:jc w:val="left"/>
              <w:rPr>
                <w:rFonts w:ascii="Times New Roman" w:hAnsi="Times New Roman" w:eastAsia="仿宋_GB2312" w:cs="方正仿宋_GBK"/>
                <w:color w:val="auto"/>
                <w:szCs w:val="21"/>
              </w:rPr>
            </w:pPr>
          </w:p>
        </w:tc>
      </w:tr>
      <w:tr w14:paraId="44B591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6" w:type="dxa"/>
            <w:vMerge w:val="continue"/>
            <w:vAlign w:val="center"/>
          </w:tcPr>
          <w:p w14:paraId="428B8DFB">
            <w:pPr>
              <w:widowControl/>
              <w:autoSpaceDE w:val="0"/>
              <w:autoSpaceDN w:val="0"/>
              <w:spacing w:line="280" w:lineRule="exact"/>
              <w:jc w:val="left"/>
              <w:rPr>
                <w:rFonts w:ascii="Times New Roman" w:hAnsi="Times New Roman" w:eastAsia="仿宋_GB2312" w:cs="方正仿宋_GBK"/>
                <w:color w:val="auto"/>
                <w:szCs w:val="21"/>
              </w:rPr>
            </w:pPr>
          </w:p>
        </w:tc>
        <w:tc>
          <w:tcPr>
            <w:tcW w:w="1324" w:type="dxa"/>
            <w:vMerge w:val="continue"/>
            <w:vAlign w:val="center"/>
          </w:tcPr>
          <w:p w14:paraId="2CE76365">
            <w:pPr>
              <w:widowControl/>
              <w:autoSpaceDE w:val="0"/>
              <w:autoSpaceDN w:val="0"/>
              <w:spacing w:line="280" w:lineRule="exact"/>
              <w:jc w:val="left"/>
              <w:rPr>
                <w:rFonts w:ascii="Times New Roman" w:hAnsi="Times New Roman" w:eastAsia="仿宋_GB2312" w:cs="方正仿宋_GBK"/>
                <w:color w:val="auto"/>
                <w:szCs w:val="21"/>
              </w:rPr>
            </w:pPr>
          </w:p>
        </w:tc>
        <w:tc>
          <w:tcPr>
            <w:tcW w:w="794" w:type="dxa"/>
            <w:vMerge w:val="continue"/>
            <w:vAlign w:val="center"/>
          </w:tcPr>
          <w:p w14:paraId="49EE70E5">
            <w:pPr>
              <w:widowControl/>
              <w:autoSpaceDE w:val="0"/>
              <w:autoSpaceDN w:val="0"/>
              <w:spacing w:line="280" w:lineRule="exact"/>
              <w:jc w:val="left"/>
              <w:rPr>
                <w:rFonts w:ascii="Times New Roman" w:hAnsi="Times New Roman" w:eastAsia="仿宋_GB2312" w:cs="方正仿宋_GBK"/>
                <w:color w:val="auto"/>
                <w:szCs w:val="21"/>
              </w:rPr>
            </w:pPr>
          </w:p>
        </w:tc>
        <w:tc>
          <w:tcPr>
            <w:tcW w:w="872" w:type="dxa"/>
            <w:vMerge w:val="continue"/>
            <w:vAlign w:val="center"/>
          </w:tcPr>
          <w:p w14:paraId="20E229C2">
            <w:pPr>
              <w:widowControl/>
              <w:autoSpaceDE w:val="0"/>
              <w:autoSpaceDN w:val="0"/>
              <w:spacing w:line="280" w:lineRule="exact"/>
              <w:jc w:val="left"/>
              <w:rPr>
                <w:rFonts w:ascii="Times New Roman" w:hAnsi="Times New Roman" w:eastAsia="仿宋_GB2312" w:cs="方正仿宋_GBK"/>
                <w:color w:val="auto"/>
                <w:szCs w:val="21"/>
              </w:rPr>
            </w:pPr>
          </w:p>
        </w:tc>
        <w:tc>
          <w:tcPr>
            <w:tcW w:w="869" w:type="dxa"/>
            <w:vAlign w:val="center"/>
          </w:tcPr>
          <w:p w14:paraId="767EE454">
            <w:pPr>
              <w:widowControl/>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安装</w:t>
            </w:r>
          </w:p>
          <w:p w14:paraId="4EA4328D">
            <w:pPr>
              <w:widowControl/>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单位</w:t>
            </w:r>
          </w:p>
        </w:tc>
        <w:tc>
          <w:tcPr>
            <w:tcW w:w="4962" w:type="dxa"/>
            <w:vAlign w:val="center"/>
          </w:tcPr>
          <w:p w14:paraId="357EA9AE">
            <w:pPr>
              <w:widowControl/>
              <w:autoSpaceDE w:val="0"/>
              <w:autoSpaceDN w:val="0"/>
              <w:spacing w:line="24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【规章】《建筑起重机械安全监督管理规定》</w:t>
            </w:r>
          </w:p>
          <w:p w14:paraId="1509CD53">
            <w:pPr>
              <w:widowControl/>
              <w:autoSpaceDE w:val="0"/>
              <w:autoSpaceDN w:val="0"/>
              <w:spacing w:line="24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第十三条第一款　安装单位应当按照建筑起重机械安装、拆卸工程专项施工方案及安全操作规程组织安装、拆卸作业。</w:t>
            </w:r>
          </w:p>
          <w:p w14:paraId="4A68CA05">
            <w:pPr>
              <w:widowControl/>
              <w:autoSpaceDE w:val="0"/>
              <w:autoSpaceDN w:val="0"/>
              <w:spacing w:line="24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第二十九条　违反本规定，安装单位有下列行为之一的，由县级以上地方人民政府建设主管部门责令限期改正，予以警告，并处以5000元以上3万元以下罚款：</w:t>
            </w:r>
          </w:p>
          <w:p w14:paraId="4FAEF64D">
            <w:pPr>
              <w:widowControl/>
              <w:autoSpaceDE w:val="0"/>
              <w:autoSpaceDN w:val="0"/>
              <w:spacing w:line="24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（三）未按照建筑起重机械安装、拆卸工程专项施工方案及安全操作规程组织安装、拆卸作业的。</w:t>
            </w:r>
          </w:p>
        </w:tc>
        <w:tc>
          <w:tcPr>
            <w:tcW w:w="992" w:type="dxa"/>
            <w:vMerge w:val="continue"/>
            <w:vAlign w:val="center"/>
          </w:tcPr>
          <w:p w14:paraId="33D81831">
            <w:pPr>
              <w:widowControl/>
              <w:autoSpaceDE w:val="0"/>
              <w:autoSpaceDN w:val="0"/>
              <w:spacing w:line="280" w:lineRule="exact"/>
              <w:jc w:val="left"/>
              <w:rPr>
                <w:rFonts w:ascii="Times New Roman" w:hAnsi="Times New Roman" w:eastAsia="仿宋_GB2312" w:cs="方正仿宋_GBK"/>
                <w:color w:val="auto"/>
                <w:szCs w:val="21"/>
              </w:rPr>
            </w:pPr>
          </w:p>
        </w:tc>
        <w:tc>
          <w:tcPr>
            <w:tcW w:w="1139" w:type="dxa"/>
            <w:vMerge w:val="continue"/>
            <w:vAlign w:val="center"/>
          </w:tcPr>
          <w:p w14:paraId="46E20AD1">
            <w:pPr>
              <w:widowControl/>
              <w:autoSpaceDE w:val="0"/>
              <w:autoSpaceDN w:val="0"/>
              <w:spacing w:line="280" w:lineRule="exact"/>
              <w:jc w:val="left"/>
              <w:rPr>
                <w:rFonts w:ascii="Times New Roman" w:hAnsi="Times New Roman" w:eastAsia="仿宋_GB2312" w:cs="方正仿宋_GBK"/>
                <w:color w:val="auto"/>
                <w:szCs w:val="21"/>
              </w:rPr>
            </w:pPr>
          </w:p>
        </w:tc>
        <w:tc>
          <w:tcPr>
            <w:tcW w:w="1491" w:type="dxa"/>
            <w:vAlign w:val="center"/>
          </w:tcPr>
          <w:p w14:paraId="5F0BF48E">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320217427000</w:t>
            </w:r>
          </w:p>
        </w:tc>
        <w:tc>
          <w:tcPr>
            <w:tcW w:w="1481" w:type="dxa"/>
            <w:vAlign w:val="center"/>
          </w:tcPr>
          <w:p w14:paraId="42767FB4">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对建筑起重机械安装单位未按照建筑起重机械安装、拆卸工程专项施工方案及安全操作规程组织安装、拆卸作业的处罚</w:t>
            </w:r>
          </w:p>
        </w:tc>
        <w:tc>
          <w:tcPr>
            <w:tcW w:w="622" w:type="dxa"/>
            <w:vAlign w:val="center"/>
          </w:tcPr>
          <w:p w14:paraId="13CD0F50">
            <w:pPr>
              <w:widowControl/>
              <w:autoSpaceDE w:val="0"/>
              <w:autoSpaceDN w:val="0"/>
              <w:spacing w:line="280" w:lineRule="exact"/>
              <w:jc w:val="left"/>
              <w:rPr>
                <w:rFonts w:ascii="Times New Roman" w:hAnsi="Times New Roman" w:eastAsia="仿宋_GB2312" w:cs="方正仿宋_GBK"/>
                <w:color w:val="auto"/>
                <w:szCs w:val="21"/>
              </w:rPr>
            </w:pPr>
          </w:p>
        </w:tc>
      </w:tr>
      <w:tr w14:paraId="31B19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0" w:hRule="atLeast"/>
          <w:jc w:val="center"/>
        </w:trPr>
        <w:tc>
          <w:tcPr>
            <w:tcW w:w="536" w:type="dxa"/>
            <w:vMerge w:val="restart"/>
            <w:vAlign w:val="center"/>
          </w:tcPr>
          <w:p w14:paraId="26821533">
            <w:pPr>
              <w:autoSpaceDE w:val="0"/>
              <w:autoSpaceDN w:val="0"/>
              <w:spacing w:line="280" w:lineRule="exact"/>
              <w:jc w:val="center"/>
              <w:rPr>
                <w:rFonts w:hint="default" w:ascii="Times New Roman" w:hAnsi="Times New Roman" w:eastAsia="仿宋_GB2312" w:cs="方正仿宋_GBK"/>
                <w:color w:val="auto"/>
                <w:szCs w:val="21"/>
                <w:lang w:val="en-US" w:eastAsia="zh-CN"/>
              </w:rPr>
            </w:pPr>
            <w:r>
              <w:rPr>
                <w:rFonts w:hint="eastAsia" w:ascii="Times New Roman" w:hAnsi="Times New Roman" w:eastAsia="仿宋_GB2312" w:cs="方正仿宋_GBK"/>
                <w:color w:val="auto"/>
                <w:szCs w:val="21"/>
                <w:lang w:val="en-US" w:eastAsia="zh-CN"/>
              </w:rPr>
              <w:t>15</w:t>
            </w:r>
          </w:p>
        </w:tc>
        <w:tc>
          <w:tcPr>
            <w:tcW w:w="1324" w:type="dxa"/>
            <w:vMerge w:val="restart"/>
            <w:vAlign w:val="center"/>
          </w:tcPr>
          <w:p w14:paraId="7156D347">
            <w:pPr>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对房屋市政工程质量、安全及文明施工情况的行政检查</w:t>
            </w:r>
          </w:p>
        </w:tc>
        <w:tc>
          <w:tcPr>
            <w:tcW w:w="794" w:type="dxa"/>
            <w:vMerge w:val="restart"/>
            <w:vAlign w:val="center"/>
          </w:tcPr>
          <w:p w14:paraId="71E4AD4C">
            <w:pPr>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苏州市相城区住房和城乡建设局</w:t>
            </w:r>
          </w:p>
        </w:tc>
        <w:tc>
          <w:tcPr>
            <w:tcW w:w="872" w:type="dxa"/>
            <w:vMerge w:val="restart"/>
            <w:vAlign w:val="center"/>
          </w:tcPr>
          <w:p w14:paraId="45E4AB28">
            <w:pPr>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相城区建设工程质量安全监督中心</w:t>
            </w:r>
          </w:p>
        </w:tc>
        <w:tc>
          <w:tcPr>
            <w:tcW w:w="869" w:type="dxa"/>
            <w:vAlign w:val="center"/>
          </w:tcPr>
          <w:p w14:paraId="1F4E252F">
            <w:pPr>
              <w:widowControl/>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安装</w:t>
            </w:r>
          </w:p>
          <w:p w14:paraId="2AD3012F">
            <w:pPr>
              <w:widowControl/>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单位</w:t>
            </w:r>
          </w:p>
        </w:tc>
        <w:tc>
          <w:tcPr>
            <w:tcW w:w="4962" w:type="dxa"/>
            <w:vAlign w:val="center"/>
          </w:tcPr>
          <w:p w14:paraId="33B87A3C">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【规章】《建筑起重机械安全监督管理规定》</w:t>
            </w:r>
          </w:p>
          <w:p w14:paraId="75BE1145">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第十五条　安装单位应当建立建筑起重机械安装、拆卸工程档案。</w:t>
            </w:r>
          </w:p>
          <w:p w14:paraId="436EAB4C">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建筑起重机械安装、拆卸工程档案应当包括以下资料：</w:t>
            </w:r>
          </w:p>
          <w:p w14:paraId="4A006413">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（一）安装、拆卸合同及安全协议书；</w:t>
            </w:r>
          </w:p>
          <w:p w14:paraId="03423228">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（二）安装、拆卸工程专项施工方案；</w:t>
            </w:r>
          </w:p>
          <w:p w14:paraId="0604DC6A">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（三）安全施工技术交底的有关资料；</w:t>
            </w:r>
          </w:p>
          <w:p w14:paraId="6991570F">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（四）安装工程验收资料；</w:t>
            </w:r>
          </w:p>
          <w:p w14:paraId="3E450294">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（五）安装、拆卸工程生产安全事故应急救援预案。</w:t>
            </w:r>
          </w:p>
          <w:p w14:paraId="54F505D1">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第二十九条　违反本规定，安装单位有下列行为之一的，由县级以上地方人民政府建设主管部门责令限期改正，予以警告，并处以5000元以上3万元以下罚款：</w:t>
            </w:r>
          </w:p>
          <w:p w14:paraId="614A7BD4">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（二）未按照规定建立建筑起重机械安装、拆卸工程档案的。</w:t>
            </w:r>
          </w:p>
        </w:tc>
        <w:tc>
          <w:tcPr>
            <w:tcW w:w="992" w:type="dxa"/>
            <w:vMerge w:val="restart"/>
            <w:vAlign w:val="center"/>
          </w:tcPr>
          <w:p w14:paraId="042D0F8B">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现场检查、书面检查</w:t>
            </w:r>
          </w:p>
        </w:tc>
        <w:tc>
          <w:tcPr>
            <w:tcW w:w="1139" w:type="dxa"/>
            <w:vMerge w:val="restart"/>
            <w:vAlign w:val="center"/>
          </w:tcPr>
          <w:p w14:paraId="44A3DEEC">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双随机+重点检查</w:t>
            </w:r>
          </w:p>
        </w:tc>
        <w:tc>
          <w:tcPr>
            <w:tcW w:w="1491" w:type="dxa"/>
            <w:vAlign w:val="center"/>
          </w:tcPr>
          <w:p w14:paraId="01089808">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320217422000</w:t>
            </w:r>
          </w:p>
        </w:tc>
        <w:tc>
          <w:tcPr>
            <w:tcW w:w="1481" w:type="dxa"/>
            <w:vAlign w:val="center"/>
          </w:tcPr>
          <w:p w14:paraId="1A389591">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对建筑起重机械安装单位未按照规定建立建筑起重机械安装、拆卸工程档案的处罚</w:t>
            </w:r>
          </w:p>
        </w:tc>
        <w:tc>
          <w:tcPr>
            <w:tcW w:w="622" w:type="dxa"/>
            <w:vAlign w:val="center"/>
          </w:tcPr>
          <w:p w14:paraId="1074ECDA">
            <w:pPr>
              <w:widowControl/>
              <w:autoSpaceDE w:val="0"/>
              <w:autoSpaceDN w:val="0"/>
              <w:spacing w:line="280" w:lineRule="exact"/>
              <w:jc w:val="left"/>
              <w:rPr>
                <w:rFonts w:ascii="Times New Roman" w:hAnsi="Times New Roman" w:eastAsia="仿宋_GB2312" w:cs="方正仿宋_GBK"/>
                <w:color w:val="auto"/>
                <w:szCs w:val="21"/>
              </w:rPr>
            </w:pPr>
          </w:p>
        </w:tc>
      </w:tr>
      <w:tr w14:paraId="5BAF5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8" w:hRule="atLeast"/>
          <w:jc w:val="center"/>
        </w:trPr>
        <w:tc>
          <w:tcPr>
            <w:tcW w:w="536" w:type="dxa"/>
            <w:vMerge w:val="continue"/>
            <w:vAlign w:val="center"/>
          </w:tcPr>
          <w:p w14:paraId="1FAFF960">
            <w:pPr>
              <w:widowControl/>
              <w:autoSpaceDE w:val="0"/>
              <w:autoSpaceDN w:val="0"/>
              <w:spacing w:line="280" w:lineRule="exact"/>
              <w:jc w:val="left"/>
              <w:rPr>
                <w:rFonts w:ascii="Times New Roman" w:hAnsi="Times New Roman" w:eastAsia="仿宋_GB2312" w:cs="方正仿宋_GBK"/>
                <w:color w:val="auto"/>
                <w:szCs w:val="21"/>
              </w:rPr>
            </w:pPr>
          </w:p>
        </w:tc>
        <w:tc>
          <w:tcPr>
            <w:tcW w:w="1324" w:type="dxa"/>
            <w:vMerge w:val="continue"/>
            <w:vAlign w:val="center"/>
          </w:tcPr>
          <w:p w14:paraId="176B792B">
            <w:pPr>
              <w:widowControl/>
              <w:autoSpaceDE w:val="0"/>
              <w:autoSpaceDN w:val="0"/>
              <w:spacing w:line="280" w:lineRule="exact"/>
              <w:jc w:val="left"/>
              <w:rPr>
                <w:rFonts w:ascii="Times New Roman" w:hAnsi="Times New Roman" w:eastAsia="仿宋_GB2312" w:cs="方正仿宋_GBK"/>
                <w:color w:val="auto"/>
                <w:szCs w:val="21"/>
              </w:rPr>
            </w:pPr>
          </w:p>
        </w:tc>
        <w:tc>
          <w:tcPr>
            <w:tcW w:w="794" w:type="dxa"/>
            <w:vMerge w:val="continue"/>
            <w:vAlign w:val="center"/>
          </w:tcPr>
          <w:p w14:paraId="3C0E617C">
            <w:pPr>
              <w:widowControl/>
              <w:autoSpaceDE w:val="0"/>
              <w:autoSpaceDN w:val="0"/>
              <w:spacing w:line="280" w:lineRule="exact"/>
              <w:jc w:val="left"/>
              <w:rPr>
                <w:rFonts w:ascii="Times New Roman" w:hAnsi="Times New Roman" w:eastAsia="仿宋_GB2312" w:cs="方正仿宋_GBK"/>
                <w:color w:val="auto"/>
                <w:szCs w:val="21"/>
              </w:rPr>
            </w:pPr>
          </w:p>
        </w:tc>
        <w:tc>
          <w:tcPr>
            <w:tcW w:w="872" w:type="dxa"/>
            <w:vMerge w:val="continue"/>
            <w:vAlign w:val="center"/>
          </w:tcPr>
          <w:p w14:paraId="29F66BB0">
            <w:pPr>
              <w:widowControl/>
              <w:autoSpaceDE w:val="0"/>
              <w:autoSpaceDN w:val="0"/>
              <w:spacing w:line="280" w:lineRule="exact"/>
              <w:jc w:val="left"/>
              <w:rPr>
                <w:rFonts w:ascii="Times New Roman" w:hAnsi="Times New Roman" w:eastAsia="仿宋_GB2312" w:cs="方正仿宋_GBK"/>
                <w:color w:val="auto"/>
                <w:szCs w:val="21"/>
              </w:rPr>
            </w:pPr>
          </w:p>
        </w:tc>
        <w:tc>
          <w:tcPr>
            <w:tcW w:w="869" w:type="dxa"/>
            <w:vAlign w:val="center"/>
          </w:tcPr>
          <w:p w14:paraId="655C3310">
            <w:pPr>
              <w:widowControl/>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使用</w:t>
            </w:r>
          </w:p>
          <w:p w14:paraId="5F231CEE">
            <w:pPr>
              <w:widowControl/>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单位</w:t>
            </w:r>
          </w:p>
        </w:tc>
        <w:tc>
          <w:tcPr>
            <w:tcW w:w="4962" w:type="dxa"/>
            <w:vAlign w:val="center"/>
          </w:tcPr>
          <w:p w14:paraId="71388249">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【规章】《建筑起重机械安全监督管理规定》</w:t>
            </w:r>
          </w:p>
          <w:p w14:paraId="7294236B">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第二十条第三款　禁止擅自在建筑起重机械上安装非原制造厂制造的标准节和附着装置。</w:t>
            </w:r>
          </w:p>
          <w:p w14:paraId="25977235">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第三十条　违反本规定，使用单位有下列行为之一的，由县级以上地方人民政府建设主管部门责令限期改正，予以警告，并处以5000元以上3万元以下罚款：</w:t>
            </w:r>
          </w:p>
          <w:p w14:paraId="58C8C207">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（三）擅自在建筑起重机械上安装非原制造厂制造的标准节和附着装置的。</w:t>
            </w:r>
          </w:p>
        </w:tc>
        <w:tc>
          <w:tcPr>
            <w:tcW w:w="992" w:type="dxa"/>
            <w:vMerge w:val="continue"/>
            <w:vAlign w:val="center"/>
          </w:tcPr>
          <w:p w14:paraId="0ED036C9">
            <w:pPr>
              <w:widowControl/>
              <w:autoSpaceDE w:val="0"/>
              <w:autoSpaceDN w:val="0"/>
              <w:spacing w:line="280" w:lineRule="exact"/>
              <w:jc w:val="left"/>
              <w:rPr>
                <w:rFonts w:ascii="Times New Roman" w:hAnsi="Times New Roman" w:eastAsia="仿宋_GB2312" w:cs="方正仿宋_GBK"/>
                <w:color w:val="auto"/>
                <w:szCs w:val="21"/>
              </w:rPr>
            </w:pPr>
          </w:p>
        </w:tc>
        <w:tc>
          <w:tcPr>
            <w:tcW w:w="1139" w:type="dxa"/>
            <w:vMerge w:val="continue"/>
            <w:vAlign w:val="center"/>
          </w:tcPr>
          <w:p w14:paraId="41EBE0C6">
            <w:pPr>
              <w:widowControl/>
              <w:autoSpaceDE w:val="0"/>
              <w:autoSpaceDN w:val="0"/>
              <w:spacing w:line="280" w:lineRule="exact"/>
              <w:jc w:val="left"/>
              <w:rPr>
                <w:rFonts w:ascii="Times New Roman" w:hAnsi="Times New Roman" w:eastAsia="仿宋_GB2312" w:cs="方正仿宋_GBK"/>
                <w:color w:val="auto"/>
                <w:szCs w:val="21"/>
              </w:rPr>
            </w:pPr>
          </w:p>
        </w:tc>
        <w:tc>
          <w:tcPr>
            <w:tcW w:w="1491" w:type="dxa"/>
            <w:vAlign w:val="center"/>
          </w:tcPr>
          <w:p w14:paraId="38EB48CD">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320217317000</w:t>
            </w:r>
          </w:p>
        </w:tc>
        <w:tc>
          <w:tcPr>
            <w:tcW w:w="1481" w:type="dxa"/>
            <w:vAlign w:val="center"/>
          </w:tcPr>
          <w:p w14:paraId="6B08D6D0">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对建筑起重机械使用单位擅自在建筑起重机械上安装非原制造厂制造的标准节和附着装置的处罚</w:t>
            </w:r>
          </w:p>
        </w:tc>
        <w:tc>
          <w:tcPr>
            <w:tcW w:w="622" w:type="dxa"/>
            <w:vAlign w:val="center"/>
          </w:tcPr>
          <w:p w14:paraId="2A6679AC">
            <w:pPr>
              <w:widowControl/>
              <w:autoSpaceDE w:val="0"/>
              <w:autoSpaceDN w:val="0"/>
              <w:spacing w:line="280" w:lineRule="exact"/>
              <w:jc w:val="left"/>
              <w:rPr>
                <w:rFonts w:ascii="Times New Roman" w:hAnsi="Times New Roman" w:eastAsia="仿宋_GB2312" w:cs="方正仿宋_GBK"/>
                <w:color w:val="auto"/>
                <w:szCs w:val="21"/>
              </w:rPr>
            </w:pPr>
          </w:p>
        </w:tc>
      </w:tr>
      <w:tr w14:paraId="0F7DFE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47" w:hRule="atLeast"/>
          <w:jc w:val="center"/>
        </w:trPr>
        <w:tc>
          <w:tcPr>
            <w:tcW w:w="536" w:type="dxa"/>
            <w:vAlign w:val="center"/>
          </w:tcPr>
          <w:p w14:paraId="1DC79B35">
            <w:pPr>
              <w:autoSpaceDE w:val="0"/>
              <w:autoSpaceDN w:val="0"/>
              <w:spacing w:line="280" w:lineRule="exact"/>
              <w:jc w:val="center"/>
              <w:rPr>
                <w:rFonts w:hint="default" w:ascii="Times New Roman" w:hAnsi="Times New Roman" w:eastAsia="仿宋_GB2312" w:cs="方正仿宋_GBK"/>
                <w:color w:val="auto"/>
                <w:szCs w:val="21"/>
                <w:lang w:val="en-US" w:eastAsia="zh-CN"/>
              </w:rPr>
            </w:pPr>
            <w:r>
              <w:rPr>
                <w:rFonts w:hint="eastAsia" w:ascii="Times New Roman" w:hAnsi="Times New Roman" w:eastAsia="仿宋_GB2312" w:cs="方正仿宋_GBK"/>
                <w:color w:val="auto"/>
                <w:szCs w:val="21"/>
                <w:lang w:val="en-US" w:eastAsia="zh-CN"/>
              </w:rPr>
              <w:t>15</w:t>
            </w:r>
          </w:p>
        </w:tc>
        <w:tc>
          <w:tcPr>
            <w:tcW w:w="1324" w:type="dxa"/>
            <w:vAlign w:val="center"/>
          </w:tcPr>
          <w:p w14:paraId="57A64C01">
            <w:pPr>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对房屋市政工程质量、安全及文明施工情况的行政检查</w:t>
            </w:r>
          </w:p>
        </w:tc>
        <w:tc>
          <w:tcPr>
            <w:tcW w:w="794" w:type="dxa"/>
            <w:vAlign w:val="center"/>
          </w:tcPr>
          <w:p w14:paraId="357A1533">
            <w:pPr>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苏州市相城区住房和城乡建设局</w:t>
            </w:r>
          </w:p>
        </w:tc>
        <w:tc>
          <w:tcPr>
            <w:tcW w:w="872" w:type="dxa"/>
            <w:vAlign w:val="center"/>
          </w:tcPr>
          <w:p w14:paraId="0B9CF349">
            <w:pPr>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相城区建设工程质量安全监督中心</w:t>
            </w:r>
          </w:p>
        </w:tc>
        <w:tc>
          <w:tcPr>
            <w:tcW w:w="869" w:type="dxa"/>
            <w:vAlign w:val="center"/>
          </w:tcPr>
          <w:p w14:paraId="38FA6EE2">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自升式架设设施安装、拆卸单位</w:t>
            </w:r>
          </w:p>
        </w:tc>
        <w:tc>
          <w:tcPr>
            <w:tcW w:w="4962" w:type="dxa"/>
            <w:vAlign w:val="center"/>
          </w:tcPr>
          <w:p w14:paraId="53527093">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【行政法规】《建设工程安全生产管理条例》</w:t>
            </w:r>
          </w:p>
          <w:p w14:paraId="7C917440">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第十七条第三款　施工起重机械和整体提升脚手架、模板等自升式架设设施安装完毕后，安装单位应当自检，出具自检合格证明，并向施工单位进行安全使用说明，办理验收手续并签字。</w:t>
            </w:r>
          </w:p>
          <w:p w14:paraId="617C9D7C">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第六十一条　违反本条例的规定，施工起重机械和整体提升脚手架、模板等自升式架设设施安装、拆卸单位有下列行为之一的，责令限期改正，处5万元以上10万元以下的罚款；情节严重的，责令停业整顿，降低资质等级，直至吊销资质证书；造成损失的，依法承担赔偿责任：</w:t>
            </w:r>
          </w:p>
          <w:p w14:paraId="7CDBEC53">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（四）未向施工单位进行安全使用说明，办理移交手续的。</w:t>
            </w:r>
          </w:p>
          <w:p w14:paraId="08DB6145">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施工起重机械和整体提升脚手架、模板等自升式架设设施安装、拆卸单位有前款规定的第（一）项、第（三）项行为，经有关部门或者单位职工提出后，对事故隐患仍不采取措施，因而发生重大伤亡事故或者造成其他严重后果，构成犯罪的，对直接责任人员，依照刑法有关规定追究刑事责任。</w:t>
            </w:r>
          </w:p>
          <w:p w14:paraId="4F0D2323">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第六十八条　本条例规定的行政处罚，由建设行政主管部门或者其他有关部门依照法定职权决定。违反消防安全管理规定的行为，由公安消防机构依法处罚。有关法律、行政法规对建设工程安全生产违法行为的行政处罚决定机关另有规定的，从其规定。</w:t>
            </w:r>
          </w:p>
        </w:tc>
        <w:tc>
          <w:tcPr>
            <w:tcW w:w="992" w:type="dxa"/>
            <w:vAlign w:val="center"/>
          </w:tcPr>
          <w:p w14:paraId="7348A67E">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现场检查、书面检查</w:t>
            </w:r>
          </w:p>
        </w:tc>
        <w:tc>
          <w:tcPr>
            <w:tcW w:w="1139" w:type="dxa"/>
            <w:vAlign w:val="center"/>
          </w:tcPr>
          <w:p w14:paraId="2A6D6194">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双随机+重点检查</w:t>
            </w:r>
          </w:p>
        </w:tc>
        <w:tc>
          <w:tcPr>
            <w:tcW w:w="1491" w:type="dxa"/>
            <w:vAlign w:val="center"/>
          </w:tcPr>
          <w:p w14:paraId="23557515">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320217156000</w:t>
            </w:r>
          </w:p>
        </w:tc>
        <w:tc>
          <w:tcPr>
            <w:tcW w:w="1481" w:type="dxa"/>
            <w:vAlign w:val="center"/>
          </w:tcPr>
          <w:p w14:paraId="717F7EC2">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对施工起重机械和整体提升脚手架、模板等自升式架设设施安装完毕后，安装单位未向施工单位进行安全使用说明，办理移交手续的处罚</w:t>
            </w:r>
          </w:p>
        </w:tc>
        <w:tc>
          <w:tcPr>
            <w:tcW w:w="622" w:type="dxa"/>
            <w:vAlign w:val="center"/>
          </w:tcPr>
          <w:p w14:paraId="4A68E68E">
            <w:pPr>
              <w:widowControl/>
              <w:autoSpaceDE w:val="0"/>
              <w:autoSpaceDN w:val="0"/>
              <w:spacing w:line="280" w:lineRule="exact"/>
              <w:jc w:val="left"/>
              <w:rPr>
                <w:rFonts w:ascii="Times New Roman" w:hAnsi="Times New Roman" w:eastAsia="仿宋_GB2312" w:cs="方正仿宋_GBK"/>
                <w:color w:val="auto"/>
                <w:szCs w:val="21"/>
              </w:rPr>
            </w:pPr>
          </w:p>
        </w:tc>
      </w:tr>
      <w:tr w14:paraId="00FAB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47" w:hRule="atLeast"/>
          <w:jc w:val="center"/>
        </w:trPr>
        <w:tc>
          <w:tcPr>
            <w:tcW w:w="536" w:type="dxa"/>
            <w:vAlign w:val="center"/>
          </w:tcPr>
          <w:p w14:paraId="73F5EAB3">
            <w:pPr>
              <w:autoSpaceDE w:val="0"/>
              <w:autoSpaceDN w:val="0"/>
              <w:spacing w:line="280" w:lineRule="exact"/>
              <w:jc w:val="center"/>
              <w:rPr>
                <w:rFonts w:hint="default" w:ascii="Times New Roman" w:hAnsi="Times New Roman" w:eastAsia="仿宋_GB2312" w:cs="方正仿宋_GBK"/>
                <w:color w:val="auto"/>
                <w:szCs w:val="21"/>
                <w:lang w:val="en-US" w:eastAsia="zh-CN"/>
              </w:rPr>
            </w:pPr>
            <w:r>
              <w:rPr>
                <w:rFonts w:hint="eastAsia" w:ascii="Times New Roman" w:hAnsi="Times New Roman" w:eastAsia="仿宋_GB2312" w:cs="方正仿宋_GBK"/>
                <w:color w:val="auto"/>
                <w:szCs w:val="21"/>
                <w:lang w:val="en-US" w:eastAsia="zh-CN"/>
              </w:rPr>
              <w:t>15</w:t>
            </w:r>
          </w:p>
        </w:tc>
        <w:tc>
          <w:tcPr>
            <w:tcW w:w="1324" w:type="dxa"/>
            <w:vAlign w:val="center"/>
          </w:tcPr>
          <w:p w14:paraId="60183D81">
            <w:pPr>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对房屋市政工程质量、安全及文明施工情况的行政检查</w:t>
            </w:r>
          </w:p>
        </w:tc>
        <w:tc>
          <w:tcPr>
            <w:tcW w:w="794" w:type="dxa"/>
            <w:vAlign w:val="center"/>
          </w:tcPr>
          <w:p w14:paraId="1525F49D">
            <w:pPr>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苏州市相城区住房和城乡建设局</w:t>
            </w:r>
          </w:p>
        </w:tc>
        <w:tc>
          <w:tcPr>
            <w:tcW w:w="872" w:type="dxa"/>
            <w:vAlign w:val="center"/>
          </w:tcPr>
          <w:p w14:paraId="05B6DEF3">
            <w:pPr>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相城区建设工程质量安全监督中心</w:t>
            </w:r>
          </w:p>
        </w:tc>
        <w:tc>
          <w:tcPr>
            <w:tcW w:w="869" w:type="dxa"/>
            <w:vAlign w:val="center"/>
          </w:tcPr>
          <w:p w14:paraId="6CE870BC">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自升式架设设施安装、拆卸单位</w:t>
            </w:r>
          </w:p>
        </w:tc>
        <w:tc>
          <w:tcPr>
            <w:tcW w:w="4962" w:type="dxa"/>
            <w:vAlign w:val="center"/>
          </w:tcPr>
          <w:p w14:paraId="7E692F03">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【行政法规】《建设工程安全生产管理条例》</w:t>
            </w:r>
          </w:p>
          <w:p w14:paraId="327E65BD">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第十七条第三款　施工起重机械和整体提升脚手架、模板等自升式架设设施安装完毕后，安装单位应当自检，出具自检合格证明，并向施工单位进行安全使用说明，办理验收手续并签字。</w:t>
            </w:r>
          </w:p>
          <w:p w14:paraId="6AFA6738">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第六十一条　违反本条例的规定，施工起重机械和整体提升脚手架、模板等自升式架设设施安装、拆卸单位有下列行为之一的，责令限期改正，处5万元以上10万元以下的罚款；情节严重的，责令停业整顿，降低资质等级，直至吊销资质证书；造成损失的，依法承担赔偿责任：</w:t>
            </w:r>
          </w:p>
          <w:p w14:paraId="2FEA70A5">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（三）未出具自检合格证明或者出具虚假证明的。</w:t>
            </w:r>
          </w:p>
          <w:p w14:paraId="1847763D">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施工起重机械和整体提升脚手架、模板等自升式架设设施安装、拆卸单位有前款规定的第（一）项、第（三）项行为，经有关部门或者单位职工提出后，对事故隐患仍不采取措施，因而发生重大伤亡事故或者造成其他严重后果，构成犯罪的，对直接责任人员，依照刑法有关规定追究刑事责任。</w:t>
            </w:r>
          </w:p>
          <w:p w14:paraId="32C81989">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第六十八条　本条例规定的行政处罚，由建设行政主管部门或者其他有关部门依照法定职权决定。违反消防安全管理规定的行为，由公安消防机构依法处罚。有关法律、行政法规对建设工程安全生产违法行为的行政处罚决定机关另有规定的，从其规定。</w:t>
            </w:r>
          </w:p>
        </w:tc>
        <w:tc>
          <w:tcPr>
            <w:tcW w:w="992" w:type="dxa"/>
            <w:vAlign w:val="center"/>
          </w:tcPr>
          <w:p w14:paraId="6AF501FF">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现场检查、书面检查</w:t>
            </w:r>
          </w:p>
        </w:tc>
        <w:tc>
          <w:tcPr>
            <w:tcW w:w="1139" w:type="dxa"/>
            <w:vAlign w:val="center"/>
          </w:tcPr>
          <w:p w14:paraId="3B9A8843">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双随机+重点检查</w:t>
            </w:r>
          </w:p>
        </w:tc>
        <w:tc>
          <w:tcPr>
            <w:tcW w:w="1491" w:type="dxa"/>
            <w:vAlign w:val="center"/>
          </w:tcPr>
          <w:p w14:paraId="1F1BC468">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320217155000</w:t>
            </w:r>
          </w:p>
        </w:tc>
        <w:tc>
          <w:tcPr>
            <w:tcW w:w="1481" w:type="dxa"/>
            <w:vAlign w:val="center"/>
          </w:tcPr>
          <w:p w14:paraId="7B873E14">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对施工起重机械和整体提升脚手架、模板等自升式架设设施安装完毕后，安装单位未出具自检合格证明或者出具虚假证明的处罚</w:t>
            </w:r>
          </w:p>
        </w:tc>
        <w:tc>
          <w:tcPr>
            <w:tcW w:w="622" w:type="dxa"/>
            <w:vAlign w:val="center"/>
          </w:tcPr>
          <w:p w14:paraId="39CABD45">
            <w:pPr>
              <w:widowControl/>
              <w:autoSpaceDE w:val="0"/>
              <w:autoSpaceDN w:val="0"/>
              <w:spacing w:line="280" w:lineRule="exact"/>
              <w:jc w:val="left"/>
              <w:rPr>
                <w:rFonts w:ascii="Times New Roman" w:hAnsi="Times New Roman" w:eastAsia="仿宋_GB2312" w:cs="方正仿宋_GBK"/>
                <w:color w:val="auto"/>
                <w:szCs w:val="21"/>
              </w:rPr>
            </w:pPr>
          </w:p>
        </w:tc>
      </w:tr>
      <w:tr w14:paraId="1F7741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47" w:hRule="atLeast"/>
          <w:jc w:val="center"/>
        </w:trPr>
        <w:tc>
          <w:tcPr>
            <w:tcW w:w="536" w:type="dxa"/>
            <w:vAlign w:val="center"/>
          </w:tcPr>
          <w:p w14:paraId="6A590551">
            <w:pPr>
              <w:autoSpaceDE w:val="0"/>
              <w:autoSpaceDN w:val="0"/>
              <w:spacing w:line="280" w:lineRule="exact"/>
              <w:jc w:val="center"/>
              <w:rPr>
                <w:rFonts w:hint="default" w:ascii="Times New Roman" w:hAnsi="Times New Roman" w:eastAsia="仿宋_GB2312" w:cs="方正仿宋_GBK"/>
                <w:color w:val="auto"/>
                <w:szCs w:val="21"/>
                <w:lang w:val="en-US" w:eastAsia="zh-CN"/>
              </w:rPr>
            </w:pPr>
            <w:r>
              <w:rPr>
                <w:rFonts w:hint="eastAsia" w:ascii="Times New Roman" w:hAnsi="Times New Roman" w:eastAsia="仿宋_GB2312" w:cs="方正仿宋_GBK"/>
                <w:color w:val="auto"/>
                <w:szCs w:val="21"/>
                <w:lang w:val="en-US" w:eastAsia="zh-CN"/>
              </w:rPr>
              <w:t>15</w:t>
            </w:r>
          </w:p>
        </w:tc>
        <w:tc>
          <w:tcPr>
            <w:tcW w:w="1324" w:type="dxa"/>
            <w:vAlign w:val="center"/>
          </w:tcPr>
          <w:p w14:paraId="3A083381">
            <w:pPr>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对房屋市政工程质量、安全及文明施工情况的行政检查</w:t>
            </w:r>
          </w:p>
        </w:tc>
        <w:tc>
          <w:tcPr>
            <w:tcW w:w="794" w:type="dxa"/>
            <w:vAlign w:val="center"/>
          </w:tcPr>
          <w:p w14:paraId="02E5E11E">
            <w:pPr>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苏州市相城区住房和城乡建设局</w:t>
            </w:r>
          </w:p>
        </w:tc>
        <w:tc>
          <w:tcPr>
            <w:tcW w:w="872" w:type="dxa"/>
            <w:vAlign w:val="center"/>
          </w:tcPr>
          <w:p w14:paraId="39221878">
            <w:pPr>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相城区建设工程质量安全监督中心</w:t>
            </w:r>
          </w:p>
        </w:tc>
        <w:tc>
          <w:tcPr>
            <w:tcW w:w="869" w:type="dxa"/>
            <w:vAlign w:val="center"/>
          </w:tcPr>
          <w:p w14:paraId="1FEB9519">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自升式架设设施安装、拆卸单位</w:t>
            </w:r>
          </w:p>
        </w:tc>
        <w:tc>
          <w:tcPr>
            <w:tcW w:w="4962" w:type="dxa"/>
            <w:vAlign w:val="center"/>
          </w:tcPr>
          <w:p w14:paraId="0CF9B114">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【行政法规】《建设工程安全生产管理条例》</w:t>
            </w:r>
          </w:p>
          <w:p w14:paraId="79CF5F9D">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第十七条第二款　安装、拆卸施工起重机械和整体提升脚手架、模板等自升式架设设施，应当编制拆装方案、制定安全施工措施，并由专业技术人员现场监督。</w:t>
            </w:r>
          </w:p>
          <w:p w14:paraId="5471EA2B">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第六十一条　违反本条例的规定，施工起重机械和整体提升脚手架、模板等自升式架设设施安装、拆卸单位有下列行为之一的，责令限期改正，处5万元以上10万元以下的罚款；情节严重的，责令停业整顿，降低资质等级，直至吊销资质证书；造成损失的，依法承担赔偿责任：</w:t>
            </w:r>
          </w:p>
          <w:p w14:paraId="12313E8E">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（二）未由专业技术人员现场监督的。</w:t>
            </w:r>
          </w:p>
          <w:p w14:paraId="64AF7EAE">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施工起重机械和整体提升脚手架、模板等自升式架设设施安装、拆卸单位有前款规定的第（一）项、第（三）项行为，经有关部门或者单位职工提出后，对事故隐患仍不采取措施，因而发生重大伤亡事故或者造成其他严重后果，构成犯罪的，对直接责任人员，依照刑法有关规定追究刑事责任。</w:t>
            </w:r>
          </w:p>
          <w:p w14:paraId="2981E59D">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第六十八条　本条例规定的行政处罚，由建设行政主管部门或者其他有关部门依照法定职权决定。违反消防安全管理规定的行为，由公安消防机构依法处罚。有关法律、行政法规对建设工程安全生产违法行为的行政处罚决定机关另有规定的，从其规定。</w:t>
            </w:r>
          </w:p>
        </w:tc>
        <w:tc>
          <w:tcPr>
            <w:tcW w:w="992" w:type="dxa"/>
            <w:vAlign w:val="center"/>
          </w:tcPr>
          <w:p w14:paraId="14E512D8">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现场检查、书面检查</w:t>
            </w:r>
          </w:p>
        </w:tc>
        <w:tc>
          <w:tcPr>
            <w:tcW w:w="1139" w:type="dxa"/>
            <w:vAlign w:val="center"/>
          </w:tcPr>
          <w:p w14:paraId="1942E37C">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双随机+重点检查</w:t>
            </w:r>
          </w:p>
        </w:tc>
        <w:tc>
          <w:tcPr>
            <w:tcW w:w="1491" w:type="dxa"/>
            <w:vAlign w:val="center"/>
          </w:tcPr>
          <w:p w14:paraId="745D45FF">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320217016000</w:t>
            </w:r>
          </w:p>
        </w:tc>
        <w:tc>
          <w:tcPr>
            <w:tcW w:w="1481" w:type="dxa"/>
            <w:vAlign w:val="center"/>
          </w:tcPr>
          <w:p w14:paraId="5F20D605">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对安装、拆卸施工起重机械和整体提升脚手架、模板等自升式架设设施未由专业技术人员现场监督的处罚</w:t>
            </w:r>
          </w:p>
        </w:tc>
        <w:tc>
          <w:tcPr>
            <w:tcW w:w="622" w:type="dxa"/>
            <w:vAlign w:val="center"/>
          </w:tcPr>
          <w:p w14:paraId="58F2D4B5">
            <w:pPr>
              <w:widowControl/>
              <w:autoSpaceDE w:val="0"/>
              <w:autoSpaceDN w:val="0"/>
              <w:spacing w:line="280" w:lineRule="exact"/>
              <w:jc w:val="left"/>
              <w:rPr>
                <w:rFonts w:ascii="Times New Roman" w:hAnsi="Times New Roman" w:eastAsia="仿宋_GB2312" w:cs="方正仿宋_GBK"/>
                <w:color w:val="auto"/>
                <w:szCs w:val="21"/>
              </w:rPr>
            </w:pPr>
          </w:p>
        </w:tc>
      </w:tr>
      <w:tr w14:paraId="386F3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6" w:type="dxa"/>
            <w:vMerge w:val="restart"/>
            <w:vAlign w:val="center"/>
          </w:tcPr>
          <w:p w14:paraId="5EEC363D">
            <w:pPr>
              <w:autoSpaceDE w:val="0"/>
              <w:autoSpaceDN w:val="0"/>
              <w:spacing w:line="280" w:lineRule="exact"/>
              <w:jc w:val="center"/>
              <w:rPr>
                <w:rFonts w:hint="default" w:ascii="Times New Roman" w:hAnsi="Times New Roman" w:eastAsia="仿宋_GB2312" w:cs="方正仿宋_GBK"/>
                <w:color w:val="auto"/>
                <w:szCs w:val="21"/>
                <w:lang w:val="en-US" w:eastAsia="zh-CN"/>
              </w:rPr>
            </w:pPr>
            <w:r>
              <w:rPr>
                <w:rFonts w:hint="eastAsia" w:ascii="Times New Roman" w:hAnsi="Times New Roman" w:eastAsia="仿宋_GB2312" w:cs="方正仿宋_GBK"/>
                <w:color w:val="auto"/>
                <w:szCs w:val="21"/>
                <w:lang w:val="en-US" w:eastAsia="zh-CN"/>
              </w:rPr>
              <w:t>15</w:t>
            </w:r>
          </w:p>
        </w:tc>
        <w:tc>
          <w:tcPr>
            <w:tcW w:w="1324" w:type="dxa"/>
            <w:vMerge w:val="restart"/>
            <w:vAlign w:val="center"/>
          </w:tcPr>
          <w:p w14:paraId="78B3C333">
            <w:pPr>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对房屋市政工程质量、安全及文明施工情况的行政检查</w:t>
            </w:r>
          </w:p>
        </w:tc>
        <w:tc>
          <w:tcPr>
            <w:tcW w:w="794" w:type="dxa"/>
            <w:vMerge w:val="restart"/>
            <w:vAlign w:val="center"/>
          </w:tcPr>
          <w:p w14:paraId="0D1311E9">
            <w:pPr>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苏州市相城区住房和城乡建设局</w:t>
            </w:r>
          </w:p>
        </w:tc>
        <w:tc>
          <w:tcPr>
            <w:tcW w:w="872" w:type="dxa"/>
            <w:vMerge w:val="restart"/>
            <w:vAlign w:val="center"/>
          </w:tcPr>
          <w:p w14:paraId="46443A19">
            <w:pPr>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相城区建设工程质量安全监督中心</w:t>
            </w:r>
          </w:p>
        </w:tc>
        <w:tc>
          <w:tcPr>
            <w:tcW w:w="869" w:type="dxa"/>
            <w:vAlign w:val="center"/>
          </w:tcPr>
          <w:p w14:paraId="3A37219D">
            <w:pPr>
              <w:widowControl/>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出租</w:t>
            </w:r>
          </w:p>
          <w:p w14:paraId="032F2D0E">
            <w:pPr>
              <w:widowControl/>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单位</w:t>
            </w:r>
          </w:p>
        </w:tc>
        <w:tc>
          <w:tcPr>
            <w:tcW w:w="4962" w:type="dxa"/>
            <w:vAlign w:val="center"/>
          </w:tcPr>
          <w:p w14:paraId="039BD362">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【行政法规】《建设工程安全生产管理条例》</w:t>
            </w:r>
          </w:p>
          <w:p w14:paraId="4AA1282F">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第十六条第二款  出租单位应当对出租的机械设备和施工机具及配件的安全性能进行检测，在签订租赁协议时，应当出具检测合格证明。</w:t>
            </w:r>
          </w:p>
          <w:p w14:paraId="639F315E">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第三款  禁止出租检测不合格的机械设备和施工机具及配件。</w:t>
            </w:r>
          </w:p>
          <w:p w14:paraId="43AB532E">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第六十条  违反本条例的规定，出租单位出租未经安全性能检测或者经检测不合格的机械设备和施工机具及配件的，责令停业整顿，并处5万元以上10万元以下的罚款；造成损失的，依法承担赔偿责任。</w:t>
            </w:r>
          </w:p>
          <w:p w14:paraId="44FD4B9D">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第六十八条　本条例规定的行政处罚，由建设行政主管部门或者其他有关部门依照法定职权决定。违反消防安全管理规定的行为，由公安消防机构依法处罚。有关法律、行政法规对建设工程安全生产违法行为的行政处罚决定机关另有规定的，从其规定。</w:t>
            </w:r>
          </w:p>
        </w:tc>
        <w:tc>
          <w:tcPr>
            <w:tcW w:w="992" w:type="dxa"/>
            <w:vAlign w:val="center"/>
          </w:tcPr>
          <w:p w14:paraId="4DBBD966">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现场检查、书面检查</w:t>
            </w:r>
          </w:p>
        </w:tc>
        <w:tc>
          <w:tcPr>
            <w:tcW w:w="1139" w:type="dxa"/>
            <w:vAlign w:val="center"/>
          </w:tcPr>
          <w:p w14:paraId="6161BEFC">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双随机+重点检查</w:t>
            </w:r>
          </w:p>
        </w:tc>
        <w:tc>
          <w:tcPr>
            <w:tcW w:w="1491" w:type="dxa"/>
            <w:vAlign w:val="center"/>
          </w:tcPr>
          <w:p w14:paraId="74396000">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320217013000</w:t>
            </w:r>
          </w:p>
        </w:tc>
        <w:tc>
          <w:tcPr>
            <w:tcW w:w="1481" w:type="dxa"/>
            <w:vAlign w:val="center"/>
          </w:tcPr>
          <w:p w14:paraId="546F0421">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对出租机械设备和施工机具及配件的单位出租未经安全性能检测或者经检测不合格的机械设备和施工机具及配件的处罚</w:t>
            </w:r>
          </w:p>
        </w:tc>
        <w:tc>
          <w:tcPr>
            <w:tcW w:w="622" w:type="dxa"/>
            <w:vAlign w:val="center"/>
          </w:tcPr>
          <w:p w14:paraId="0FE566EB">
            <w:pPr>
              <w:widowControl/>
              <w:autoSpaceDE w:val="0"/>
              <w:autoSpaceDN w:val="0"/>
              <w:spacing w:line="280" w:lineRule="exact"/>
              <w:jc w:val="left"/>
              <w:rPr>
                <w:rFonts w:ascii="Times New Roman" w:hAnsi="Times New Roman" w:eastAsia="仿宋_GB2312" w:cs="方正仿宋_GBK"/>
                <w:color w:val="auto"/>
                <w:szCs w:val="21"/>
              </w:rPr>
            </w:pPr>
          </w:p>
        </w:tc>
      </w:tr>
      <w:tr w14:paraId="2A52B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7" w:hRule="atLeast"/>
          <w:jc w:val="center"/>
        </w:trPr>
        <w:tc>
          <w:tcPr>
            <w:tcW w:w="536" w:type="dxa"/>
            <w:vMerge w:val="continue"/>
            <w:vAlign w:val="center"/>
          </w:tcPr>
          <w:p w14:paraId="05A81223">
            <w:pPr>
              <w:widowControl/>
              <w:autoSpaceDE w:val="0"/>
              <w:autoSpaceDN w:val="0"/>
              <w:spacing w:line="280" w:lineRule="exact"/>
              <w:jc w:val="left"/>
              <w:rPr>
                <w:rFonts w:ascii="Times New Roman" w:hAnsi="Times New Roman" w:eastAsia="仿宋_GB2312" w:cs="方正仿宋_GBK"/>
                <w:color w:val="auto"/>
                <w:szCs w:val="21"/>
              </w:rPr>
            </w:pPr>
          </w:p>
        </w:tc>
        <w:tc>
          <w:tcPr>
            <w:tcW w:w="1324" w:type="dxa"/>
            <w:vMerge w:val="continue"/>
            <w:vAlign w:val="center"/>
          </w:tcPr>
          <w:p w14:paraId="20FD4A29">
            <w:pPr>
              <w:widowControl/>
              <w:autoSpaceDE w:val="0"/>
              <w:autoSpaceDN w:val="0"/>
              <w:spacing w:line="280" w:lineRule="exact"/>
              <w:jc w:val="left"/>
              <w:rPr>
                <w:rFonts w:ascii="Times New Roman" w:hAnsi="Times New Roman" w:eastAsia="仿宋_GB2312" w:cs="方正仿宋_GBK"/>
                <w:color w:val="auto"/>
                <w:szCs w:val="21"/>
              </w:rPr>
            </w:pPr>
          </w:p>
        </w:tc>
        <w:tc>
          <w:tcPr>
            <w:tcW w:w="794" w:type="dxa"/>
            <w:vMerge w:val="continue"/>
            <w:vAlign w:val="center"/>
          </w:tcPr>
          <w:p w14:paraId="5466F6D3">
            <w:pPr>
              <w:widowControl/>
              <w:autoSpaceDE w:val="0"/>
              <w:autoSpaceDN w:val="0"/>
              <w:spacing w:line="280" w:lineRule="exact"/>
              <w:jc w:val="left"/>
              <w:rPr>
                <w:rFonts w:ascii="Times New Roman" w:hAnsi="Times New Roman" w:eastAsia="仿宋_GB2312" w:cs="方正仿宋_GBK"/>
                <w:color w:val="auto"/>
                <w:szCs w:val="21"/>
              </w:rPr>
            </w:pPr>
          </w:p>
        </w:tc>
        <w:tc>
          <w:tcPr>
            <w:tcW w:w="872" w:type="dxa"/>
            <w:vMerge w:val="continue"/>
            <w:vAlign w:val="center"/>
          </w:tcPr>
          <w:p w14:paraId="2A8C9006">
            <w:pPr>
              <w:widowControl/>
              <w:autoSpaceDE w:val="0"/>
              <w:autoSpaceDN w:val="0"/>
              <w:spacing w:line="280" w:lineRule="exact"/>
              <w:jc w:val="left"/>
              <w:rPr>
                <w:rFonts w:ascii="Times New Roman" w:hAnsi="Times New Roman" w:eastAsia="仿宋_GB2312" w:cs="方正仿宋_GBK"/>
                <w:color w:val="auto"/>
                <w:szCs w:val="21"/>
              </w:rPr>
            </w:pPr>
          </w:p>
        </w:tc>
        <w:tc>
          <w:tcPr>
            <w:tcW w:w="869" w:type="dxa"/>
            <w:vAlign w:val="center"/>
          </w:tcPr>
          <w:p w14:paraId="5A66EA46">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建筑材料、设备、构配件以及预拌混凝土、砂浆供应单位</w:t>
            </w:r>
          </w:p>
        </w:tc>
        <w:tc>
          <w:tcPr>
            <w:tcW w:w="4962" w:type="dxa"/>
            <w:vAlign w:val="center"/>
          </w:tcPr>
          <w:p w14:paraId="512A547E">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【规章】《江苏省房屋建筑和市政基础设施工程质量监督管理办法》</w:t>
            </w:r>
          </w:p>
          <w:p w14:paraId="4F54D6CB">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第二十二条  建筑材料、设备、构配件以及预拌混凝土、砂浆供应单位应当履行下列工程质量义务：</w:t>
            </w:r>
          </w:p>
          <w:p w14:paraId="7F121B01">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（三）供应的预拌混凝土、砂浆应当符合技术标准要求。</w:t>
            </w:r>
          </w:p>
          <w:p w14:paraId="45D77A22">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第二十八条  违反本办法第二十二条规定，建筑材料、设备、构配件以及预拌混凝土、砂浆供应单位有下列行为之一的，由住房和城乡建设行政主管部门责令改正，并可处1万元以上3万元以下罚款：</w:t>
            </w:r>
          </w:p>
          <w:p w14:paraId="30007B33">
            <w:pPr>
              <w:widowControl/>
              <w:autoSpaceDE w:val="0"/>
              <w:autoSpaceDN w:val="0"/>
              <w:spacing w:line="28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（三）供应的预拌混凝土、砂浆不符合技术标准要求的。</w:t>
            </w:r>
          </w:p>
        </w:tc>
        <w:tc>
          <w:tcPr>
            <w:tcW w:w="992" w:type="dxa"/>
            <w:vAlign w:val="center"/>
          </w:tcPr>
          <w:p w14:paraId="27C88FE6">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现场检查、书面检查</w:t>
            </w:r>
          </w:p>
        </w:tc>
        <w:tc>
          <w:tcPr>
            <w:tcW w:w="1139" w:type="dxa"/>
            <w:vAlign w:val="center"/>
          </w:tcPr>
          <w:p w14:paraId="4CF63992">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双随机+重点检查</w:t>
            </w:r>
          </w:p>
        </w:tc>
        <w:tc>
          <w:tcPr>
            <w:tcW w:w="1491" w:type="dxa"/>
            <w:vAlign w:val="center"/>
          </w:tcPr>
          <w:p w14:paraId="0C27A32F">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320217564000</w:t>
            </w:r>
          </w:p>
        </w:tc>
        <w:tc>
          <w:tcPr>
            <w:tcW w:w="1481" w:type="dxa"/>
            <w:vAlign w:val="center"/>
          </w:tcPr>
          <w:p w14:paraId="10BFF661">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对预拌混凝土、砂浆供应单位供应的预拌混凝土、砂浆不符合技术标准要求的处罚</w:t>
            </w:r>
          </w:p>
        </w:tc>
        <w:tc>
          <w:tcPr>
            <w:tcW w:w="622" w:type="dxa"/>
            <w:vAlign w:val="center"/>
          </w:tcPr>
          <w:p w14:paraId="38FE8B67">
            <w:pPr>
              <w:widowControl/>
              <w:autoSpaceDE w:val="0"/>
              <w:autoSpaceDN w:val="0"/>
              <w:spacing w:line="280" w:lineRule="exact"/>
              <w:jc w:val="left"/>
              <w:rPr>
                <w:rFonts w:ascii="Times New Roman" w:hAnsi="Times New Roman" w:eastAsia="仿宋_GB2312" w:cs="方正仿宋_GBK"/>
                <w:color w:val="auto"/>
                <w:szCs w:val="21"/>
              </w:rPr>
            </w:pPr>
          </w:p>
        </w:tc>
      </w:tr>
      <w:tr w14:paraId="5C698C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6" w:type="dxa"/>
            <w:vAlign w:val="center"/>
          </w:tcPr>
          <w:p w14:paraId="2C8BA3DB">
            <w:pPr>
              <w:autoSpaceDE w:val="0"/>
              <w:autoSpaceDN w:val="0"/>
              <w:spacing w:line="280" w:lineRule="exact"/>
              <w:jc w:val="center"/>
              <w:rPr>
                <w:rFonts w:hint="default" w:ascii="Times New Roman" w:hAnsi="Times New Roman" w:eastAsia="仿宋_GB2312" w:cs="方正仿宋_GBK"/>
                <w:color w:val="auto"/>
                <w:szCs w:val="21"/>
                <w:lang w:val="en-US" w:eastAsia="zh-CN"/>
              </w:rPr>
            </w:pPr>
            <w:r>
              <w:rPr>
                <w:rFonts w:hint="eastAsia" w:ascii="Times New Roman" w:hAnsi="Times New Roman" w:eastAsia="仿宋_GB2312" w:cs="方正仿宋_GBK"/>
                <w:color w:val="auto"/>
                <w:szCs w:val="21"/>
                <w:lang w:val="en-US" w:eastAsia="zh-CN"/>
              </w:rPr>
              <w:t>15</w:t>
            </w:r>
          </w:p>
        </w:tc>
        <w:tc>
          <w:tcPr>
            <w:tcW w:w="1324" w:type="dxa"/>
            <w:vAlign w:val="center"/>
          </w:tcPr>
          <w:p w14:paraId="3C2D7E47">
            <w:pPr>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对房屋市政工程质量、安全及文明施工情况的行政检查</w:t>
            </w:r>
          </w:p>
        </w:tc>
        <w:tc>
          <w:tcPr>
            <w:tcW w:w="794" w:type="dxa"/>
            <w:vAlign w:val="center"/>
          </w:tcPr>
          <w:p w14:paraId="3F870E6B">
            <w:pPr>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苏州市相城区住房和城乡建设局</w:t>
            </w:r>
          </w:p>
        </w:tc>
        <w:tc>
          <w:tcPr>
            <w:tcW w:w="872" w:type="dxa"/>
            <w:vAlign w:val="center"/>
          </w:tcPr>
          <w:p w14:paraId="150F931B">
            <w:pPr>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相城区建设工程质量安全监督中心</w:t>
            </w:r>
          </w:p>
        </w:tc>
        <w:tc>
          <w:tcPr>
            <w:tcW w:w="869" w:type="dxa"/>
            <w:vAlign w:val="center"/>
          </w:tcPr>
          <w:p w14:paraId="442E685F">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建筑材料、设备、构配件以及预拌混凝土、砂浆供应单位</w:t>
            </w:r>
          </w:p>
        </w:tc>
        <w:tc>
          <w:tcPr>
            <w:tcW w:w="4962" w:type="dxa"/>
            <w:vAlign w:val="center"/>
          </w:tcPr>
          <w:p w14:paraId="164DF9AA">
            <w:pPr>
              <w:keepNext w:val="0"/>
              <w:keepLines w:val="0"/>
              <w:pageBreakBefore w:val="0"/>
              <w:widowControl/>
              <w:kinsoku/>
              <w:wordWrap/>
              <w:overflowPunct/>
              <w:topLinePunct w:val="0"/>
              <w:autoSpaceDE w:val="0"/>
              <w:autoSpaceDN w:val="0"/>
              <w:bidi w:val="0"/>
              <w:adjustRightInd/>
              <w:snapToGrid/>
              <w:spacing w:line="260" w:lineRule="exact"/>
              <w:jc w:val="left"/>
              <w:textAlignment w:val="auto"/>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【规章】《江苏省房屋建筑和市政基础设施工程质量监督管理办法》</w:t>
            </w:r>
          </w:p>
          <w:p w14:paraId="1B147491">
            <w:pPr>
              <w:keepNext w:val="0"/>
              <w:keepLines w:val="0"/>
              <w:pageBreakBefore w:val="0"/>
              <w:widowControl/>
              <w:kinsoku/>
              <w:wordWrap/>
              <w:overflowPunct/>
              <w:topLinePunct w:val="0"/>
              <w:autoSpaceDE w:val="0"/>
              <w:autoSpaceDN w:val="0"/>
              <w:bidi w:val="0"/>
              <w:adjustRightInd/>
              <w:snapToGrid/>
              <w:spacing w:line="260" w:lineRule="exact"/>
              <w:ind w:firstLine="420" w:firstLineChars="200"/>
              <w:jc w:val="left"/>
              <w:textAlignment w:val="auto"/>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第二十二条  建筑材料、设备、构配件以及预拌混凝土、砂浆供应单位应当履行下列工程质量义务：</w:t>
            </w:r>
          </w:p>
          <w:p w14:paraId="751D76AD">
            <w:pPr>
              <w:keepNext w:val="0"/>
              <w:keepLines w:val="0"/>
              <w:pageBreakBefore w:val="0"/>
              <w:widowControl/>
              <w:kinsoku/>
              <w:wordWrap/>
              <w:overflowPunct/>
              <w:topLinePunct w:val="0"/>
              <w:autoSpaceDE w:val="0"/>
              <w:autoSpaceDN w:val="0"/>
              <w:bidi w:val="0"/>
              <w:adjustRightInd/>
              <w:snapToGrid/>
              <w:spacing w:line="260" w:lineRule="exact"/>
              <w:ind w:firstLine="420" w:firstLineChars="200"/>
              <w:jc w:val="left"/>
              <w:textAlignment w:val="auto"/>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（四）及时提供真实的建筑材料、设备、构配件以及预拌混凝土、砂浆的质量合格证明文件和检测报告。</w:t>
            </w:r>
          </w:p>
          <w:p w14:paraId="79089C2F">
            <w:pPr>
              <w:keepNext w:val="0"/>
              <w:keepLines w:val="0"/>
              <w:pageBreakBefore w:val="0"/>
              <w:widowControl/>
              <w:kinsoku/>
              <w:wordWrap/>
              <w:overflowPunct/>
              <w:topLinePunct w:val="0"/>
              <w:autoSpaceDE w:val="0"/>
              <w:autoSpaceDN w:val="0"/>
              <w:bidi w:val="0"/>
              <w:adjustRightInd/>
              <w:snapToGrid/>
              <w:spacing w:line="260" w:lineRule="exact"/>
              <w:ind w:firstLine="420" w:firstLineChars="200"/>
              <w:jc w:val="left"/>
              <w:textAlignment w:val="auto"/>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第二十八条  违反本办法第二十二条规定，建筑材料、设备、构配件以及预拌混凝土、砂浆供应单位有下列行为之一的，由住房和城乡建设行政主管部门责令改正，并可处1万元以上3万元以下罚款：</w:t>
            </w:r>
          </w:p>
          <w:p w14:paraId="41EB3E2F">
            <w:pPr>
              <w:keepNext w:val="0"/>
              <w:keepLines w:val="0"/>
              <w:pageBreakBefore w:val="0"/>
              <w:widowControl/>
              <w:kinsoku/>
              <w:wordWrap/>
              <w:overflowPunct/>
              <w:topLinePunct w:val="0"/>
              <w:autoSpaceDE w:val="0"/>
              <w:autoSpaceDN w:val="0"/>
              <w:bidi w:val="0"/>
              <w:adjustRightInd/>
              <w:snapToGrid/>
              <w:spacing w:line="260" w:lineRule="exact"/>
              <w:ind w:firstLine="420" w:firstLineChars="200"/>
              <w:jc w:val="left"/>
              <w:textAlignment w:val="auto"/>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（四）未及时提供真实的建筑材料、设备、构配件以及预拌混凝土、砂浆的质量合格证明文件和检测报告的。</w:t>
            </w:r>
          </w:p>
        </w:tc>
        <w:tc>
          <w:tcPr>
            <w:tcW w:w="992" w:type="dxa"/>
            <w:vAlign w:val="center"/>
          </w:tcPr>
          <w:p w14:paraId="33B3A0CB">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现场检查、书面检查</w:t>
            </w:r>
          </w:p>
        </w:tc>
        <w:tc>
          <w:tcPr>
            <w:tcW w:w="1139" w:type="dxa"/>
            <w:vAlign w:val="center"/>
          </w:tcPr>
          <w:p w14:paraId="461E444C">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双随机+重点检查</w:t>
            </w:r>
          </w:p>
        </w:tc>
        <w:tc>
          <w:tcPr>
            <w:tcW w:w="1491" w:type="dxa"/>
            <w:vAlign w:val="center"/>
          </w:tcPr>
          <w:p w14:paraId="7AAA0648">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320217300000</w:t>
            </w:r>
          </w:p>
        </w:tc>
        <w:tc>
          <w:tcPr>
            <w:tcW w:w="1481" w:type="dxa"/>
            <w:vAlign w:val="center"/>
          </w:tcPr>
          <w:p w14:paraId="692F0B6A">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对建筑材料、设备、构配件以及预拌混凝土、砂浆供应单位未及时提供真实的建筑材料、设备、构配件以及预拌混凝土、砂浆的质量合格证明文件和检测报告的处罚</w:t>
            </w:r>
          </w:p>
        </w:tc>
        <w:tc>
          <w:tcPr>
            <w:tcW w:w="622" w:type="dxa"/>
            <w:vAlign w:val="center"/>
          </w:tcPr>
          <w:p w14:paraId="2407A206">
            <w:pPr>
              <w:widowControl/>
              <w:autoSpaceDE w:val="0"/>
              <w:autoSpaceDN w:val="0"/>
              <w:spacing w:line="280" w:lineRule="exact"/>
              <w:jc w:val="left"/>
              <w:rPr>
                <w:rFonts w:ascii="Times New Roman" w:hAnsi="Times New Roman" w:eastAsia="仿宋_GB2312" w:cs="方正仿宋_GBK"/>
                <w:color w:val="auto"/>
                <w:szCs w:val="21"/>
              </w:rPr>
            </w:pPr>
          </w:p>
        </w:tc>
      </w:tr>
      <w:tr w14:paraId="6AFF0D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6" w:type="dxa"/>
            <w:vAlign w:val="center"/>
          </w:tcPr>
          <w:p w14:paraId="214E9C5B">
            <w:pPr>
              <w:widowControl/>
              <w:autoSpaceDE w:val="0"/>
              <w:autoSpaceDN w:val="0"/>
              <w:spacing w:line="280" w:lineRule="exact"/>
              <w:jc w:val="left"/>
              <w:rPr>
                <w:rFonts w:hint="default" w:ascii="Times New Roman" w:hAnsi="Times New Roman" w:eastAsia="仿宋_GB2312" w:cs="方正仿宋_GBK"/>
                <w:color w:val="auto"/>
                <w:szCs w:val="21"/>
                <w:lang w:val="en-US" w:eastAsia="zh-CN"/>
              </w:rPr>
            </w:pPr>
            <w:r>
              <w:rPr>
                <w:rFonts w:hint="eastAsia" w:ascii="Times New Roman" w:hAnsi="Times New Roman" w:eastAsia="仿宋_GB2312" w:cs="方正仿宋_GBK"/>
                <w:color w:val="auto"/>
                <w:szCs w:val="21"/>
                <w:lang w:val="en-US" w:eastAsia="zh-CN"/>
              </w:rPr>
              <w:t>16</w:t>
            </w:r>
          </w:p>
        </w:tc>
        <w:tc>
          <w:tcPr>
            <w:tcW w:w="1324" w:type="dxa"/>
            <w:vAlign w:val="center"/>
          </w:tcPr>
          <w:p w14:paraId="7ECE9662">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对工程质量检测机构的行政检查</w:t>
            </w:r>
          </w:p>
        </w:tc>
        <w:tc>
          <w:tcPr>
            <w:tcW w:w="794" w:type="dxa"/>
            <w:vAlign w:val="center"/>
          </w:tcPr>
          <w:p w14:paraId="41E9CFE4">
            <w:pPr>
              <w:widowControl/>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苏州市相城区住房和城乡建设局</w:t>
            </w:r>
          </w:p>
        </w:tc>
        <w:tc>
          <w:tcPr>
            <w:tcW w:w="872" w:type="dxa"/>
            <w:vAlign w:val="center"/>
          </w:tcPr>
          <w:p w14:paraId="1F0E8B82">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相城区建设工程质量安全监督中心</w:t>
            </w:r>
          </w:p>
        </w:tc>
        <w:tc>
          <w:tcPr>
            <w:tcW w:w="869" w:type="dxa"/>
            <w:vAlign w:val="center"/>
          </w:tcPr>
          <w:p w14:paraId="342F0C23">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工程质量检测单位</w:t>
            </w:r>
          </w:p>
        </w:tc>
        <w:tc>
          <w:tcPr>
            <w:tcW w:w="4962" w:type="dxa"/>
            <w:vAlign w:val="center"/>
          </w:tcPr>
          <w:p w14:paraId="5D83B280">
            <w:pPr>
              <w:keepNext w:val="0"/>
              <w:keepLines w:val="0"/>
              <w:pageBreakBefore w:val="0"/>
              <w:widowControl/>
              <w:kinsoku/>
              <w:wordWrap/>
              <w:overflowPunct/>
              <w:topLinePunct w:val="0"/>
              <w:autoSpaceDE w:val="0"/>
              <w:autoSpaceDN w:val="0"/>
              <w:bidi w:val="0"/>
              <w:adjustRightInd/>
              <w:snapToGrid/>
              <w:spacing w:line="260" w:lineRule="exact"/>
              <w:jc w:val="left"/>
              <w:textAlignment w:val="auto"/>
              <w:rPr>
                <w:rFonts w:hint="eastAsia"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【部门规章】《建设工程质量检测管理办法》</w:t>
            </w:r>
          </w:p>
          <w:p w14:paraId="0CF915B4">
            <w:pPr>
              <w:keepNext w:val="0"/>
              <w:keepLines w:val="0"/>
              <w:pageBreakBefore w:val="0"/>
              <w:widowControl/>
              <w:kinsoku/>
              <w:wordWrap/>
              <w:overflowPunct/>
              <w:topLinePunct w:val="0"/>
              <w:autoSpaceDE w:val="0"/>
              <w:autoSpaceDN w:val="0"/>
              <w:bidi w:val="0"/>
              <w:adjustRightInd/>
              <w:snapToGrid/>
              <w:spacing w:line="260" w:lineRule="exact"/>
              <w:ind w:firstLine="420" w:firstLineChars="200"/>
              <w:jc w:val="left"/>
              <w:textAlignment w:val="auto"/>
              <w:rPr>
                <w:rFonts w:hint="eastAsia"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第二十四条　检测机构在检测过程中发现建设、施工、监理单位存在违反有关法律法规规定和工程建设强制性标准等行为，以及检测项目涉及结构安全、主要使用功能检测结果不合格的，应当及时报告建设工程所在地县级以上地方人民政府住房和城乡建设主管部门。</w:t>
            </w:r>
          </w:p>
          <w:p w14:paraId="1D6E5942">
            <w:pPr>
              <w:keepNext w:val="0"/>
              <w:keepLines w:val="0"/>
              <w:pageBreakBefore w:val="0"/>
              <w:widowControl/>
              <w:kinsoku/>
              <w:wordWrap/>
              <w:overflowPunct/>
              <w:topLinePunct w:val="0"/>
              <w:autoSpaceDE w:val="0"/>
              <w:autoSpaceDN w:val="0"/>
              <w:bidi w:val="0"/>
              <w:adjustRightInd/>
              <w:snapToGrid/>
              <w:spacing w:line="260" w:lineRule="exact"/>
              <w:ind w:firstLine="420" w:firstLineChars="200"/>
              <w:jc w:val="left"/>
              <w:textAlignment w:val="auto"/>
              <w:rPr>
                <w:rFonts w:hint="eastAsia"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第四十五条　检测机构违反本办法规定，有下列行为之一的，由县级以上地方人民政府住房和城乡建设主管部门责令改正，处1万元以上5万元以下罚款：</w:t>
            </w:r>
          </w:p>
          <w:p w14:paraId="65E3A3D8">
            <w:pPr>
              <w:keepNext w:val="0"/>
              <w:keepLines w:val="0"/>
              <w:pageBreakBefore w:val="0"/>
              <w:widowControl/>
              <w:kinsoku/>
              <w:wordWrap/>
              <w:overflowPunct/>
              <w:topLinePunct w:val="0"/>
              <w:autoSpaceDE w:val="0"/>
              <w:autoSpaceDN w:val="0"/>
              <w:bidi w:val="0"/>
              <w:adjustRightInd/>
              <w:snapToGrid/>
              <w:spacing w:line="260" w:lineRule="exact"/>
              <w:ind w:firstLine="420" w:firstLineChars="200"/>
              <w:jc w:val="left"/>
              <w:textAlignment w:val="auto"/>
              <w:rPr>
                <w:rFonts w:hint="eastAsia"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（四）未及时报告发现的违反有关法律法规规定和工程建设强制性标准等行为的；</w:t>
            </w:r>
          </w:p>
          <w:p w14:paraId="730557CC">
            <w:pPr>
              <w:keepNext w:val="0"/>
              <w:keepLines w:val="0"/>
              <w:pageBreakBefore w:val="0"/>
              <w:widowControl/>
              <w:kinsoku/>
              <w:wordWrap/>
              <w:overflowPunct/>
              <w:topLinePunct w:val="0"/>
              <w:autoSpaceDE w:val="0"/>
              <w:autoSpaceDN w:val="0"/>
              <w:bidi w:val="0"/>
              <w:adjustRightInd/>
              <w:snapToGrid/>
              <w:spacing w:line="260" w:lineRule="exact"/>
              <w:ind w:firstLine="420" w:firstLineChars="200"/>
              <w:jc w:val="left"/>
              <w:textAlignment w:val="auto"/>
              <w:rPr>
                <w:rFonts w:hint="eastAsia"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第四十六条　检测机构违反本办法规定，有违法所得的，由县级以上地方人民政府住房和城乡建设主管部门依法予以没收。</w:t>
            </w:r>
          </w:p>
          <w:p w14:paraId="4F615227">
            <w:pPr>
              <w:keepNext w:val="0"/>
              <w:keepLines w:val="0"/>
              <w:pageBreakBefore w:val="0"/>
              <w:widowControl/>
              <w:kinsoku/>
              <w:wordWrap/>
              <w:overflowPunct/>
              <w:topLinePunct w:val="0"/>
              <w:autoSpaceDE w:val="0"/>
              <w:autoSpaceDN w:val="0"/>
              <w:bidi w:val="0"/>
              <w:adjustRightInd/>
              <w:snapToGrid/>
              <w:spacing w:line="260" w:lineRule="exact"/>
              <w:ind w:firstLine="420" w:firstLineChars="200"/>
              <w:jc w:val="left"/>
              <w:textAlignment w:val="auto"/>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第四十八条　依照本办法规定，给予单位罚款处罚的，对单位直接负责的主管人员和其他直接责任人员处3万元以下罚款。</w:t>
            </w:r>
          </w:p>
        </w:tc>
        <w:tc>
          <w:tcPr>
            <w:tcW w:w="992" w:type="dxa"/>
            <w:vAlign w:val="center"/>
          </w:tcPr>
          <w:p w14:paraId="4BF9B1D7">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现场检查、书面检查</w:t>
            </w:r>
          </w:p>
        </w:tc>
        <w:tc>
          <w:tcPr>
            <w:tcW w:w="1139" w:type="dxa"/>
            <w:vAlign w:val="center"/>
          </w:tcPr>
          <w:p w14:paraId="4586A180">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双随机+重点检查</w:t>
            </w:r>
          </w:p>
        </w:tc>
        <w:tc>
          <w:tcPr>
            <w:tcW w:w="1491" w:type="dxa"/>
            <w:vAlign w:val="center"/>
          </w:tcPr>
          <w:p w14:paraId="21255D5B">
            <w:pPr>
              <w:widowControl/>
              <w:spacing w:line="280" w:lineRule="exact"/>
              <w:jc w:val="center"/>
              <w:textAlignment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kern w:val="0"/>
                <w:szCs w:val="21"/>
                <w:lang w:bidi="ar"/>
              </w:rPr>
              <w:t>320217531000</w:t>
            </w:r>
          </w:p>
        </w:tc>
        <w:tc>
          <w:tcPr>
            <w:tcW w:w="1481" w:type="dxa"/>
            <w:vAlign w:val="center"/>
          </w:tcPr>
          <w:p w14:paraId="51914A31">
            <w:pPr>
              <w:widowControl/>
              <w:spacing w:line="280" w:lineRule="exact"/>
              <w:jc w:val="left"/>
              <w:textAlignment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kern w:val="0"/>
                <w:szCs w:val="21"/>
                <w:lang w:bidi="ar"/>
              </w:rPr>
              <w:t xml:space="preserve">对检测机构未及时报告发现的违反有关法律法规规定和工程建设强制性标准等行为的处罚 </w:t>
            </w:r>
          </w:p>
        </w:tc>
        <w:tc>
          <w:tcPr>
            <w:tcW w:w="622" w:type="dxa"/>
            <w:vAlign w:val="center"/>
          </w:tcPr>
          <w:p w14:paraId="5EB82CB5">
            <w:pPr>
              <w:widowControl/>
              <w:autoSpaceDE w:val="0"/>
              <w:autoSpaceDN w:val="0"/>
              <w:spacing w:line="280" w:lineRule="exact"/>
              <w:jc w:val="left"/>
              <w:rPr>
                <w:rFonts w:ascii="Times New Roman" w:hAnsi="Times New Roman" w:eastAsia="仿宋_GB2312" w:cs="方正仿宋_GBK"/>
                <w:color w:val="auto"/>
                <w:szCs w:val="21"/>
              </w:rPr>
            </w:pPr>
          </w:p>
        </w:tc>
      </w:tr>
      <w:tr w14:paraId="71BF7B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6" w:type="dxa"/>
            <w:vMerge w:val="restart"/>
            <w:vAlign w:val="center"/>
          </w:tcPr>
          <w:p w14:paraId="51BEFAE5">
            <w:pPr>
              <w:widowControl/>
              <w:autoSpaceDE w:val="0"/>
              <w:autoSpaceDN w:val="0"/>
              <w:spacing w:line="280" w:lineRule="exact"/>
              <w:jc w:val="left"/>
              <w:rPr>
                <w:rFonts w:hint="default" w:ascii="Times New Roman" w:hAnsi="Times New Roman" w:eastAsia="仿宋_GB2312" w:cs="方正仿宋_GBK"/>
                <w:color w:val="auto"/>
                <w:szCs w:val="21"/>
                <w:lang w:val="en-US" w:eastAsia="zh-CN"/>
              </w:rPr>
            </w:pPr>
            <w:r>
              <w:rPr>
                <w:rFonts w:hint="eastAsia" w:ascii="Times New Roman" w:hAnsi="Times New Roman" w:eastAsia="仿宋_GB2312" w:cs="方正仿宋_GBK"/>
                <w:color w:val="auto"/>
                <w:szCs w:val="21"/>
                <w:lang w:val="en-US" w:eastAsia="zh-CN"/>
              </w:rPr>
              <w:t>16</w:t>
            </w:r>
          </w:p>
        </w:tc>
        <w:tc>
          <w:tcPr>
            <w:tcW w:w="1324" w:type="dxa"/>
            <w:vMerge w:val="restart"/>
            <w:vAlign w:val="center"/>
          </w:tcPr>
          <w:p w14:paraId="63E32BC1">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对工程质量检测机构的行政检查</w:t>
            </w:r>
          </w:p>
        </w:tc>
        <w:tc>
          <w:tcPr>
            <w:tcW w:w="794" w:type="dxa"/>
            <w:vMerge w:val="restart"/>
            <w:vAlign w:val="center"/>
          </w:tcPr>
          <w:p w14:paraId="4628A5E4">
            <w:pPr>
              <w:widowControl/>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苏州市相城区住房和城乡建设局</w:t>
            </w:r>
          </w:p>
        </w:tc>
        <w:tc>
          <w:tcPr>
            <w:tcW w:w="872" w:type="dxa"/>
            <w:vMerge w:val="restart"/>
            <w:vAlign w:val="center"/>
          </w:tcPr>
          <w:p w14:paraId="6AB81F99">
            <w:pPr>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相城区建设工程质量安全监督中心</w:t>
            </w:r>
          </w:p>
        </w:tc>
        <w:tc>
          <w:tcPr>
            <w:tcW w:w="869" w:type="dxa"/>
            <w:vMerge w:val="restart"/>
            <w:vAlign w:val="center"/>
          </w:tcPr>
          <w:p w14:paraId="04164295">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工程质量检测单位</w:t>
            </w:r>
          </w:p>
        </w:tc>
        <w:tc>
          <w:tcPr>
            <w:tcW w:w="4962" w:type="dxa"/>
            <w:shd w:val="clear" w:color="auto" w:fill="auto"/>
            <w:vAlign w:val="center"/>
          </w:tcPr>
          <w:p w14:paraId="5F49B230">
            <w:pPr>
              <w:keepNext w:val="0"/>
              <w:keepLines w:val="0"/>
              <w:pageBreakBefore w:val="0"/>
              <w:widowControl/>
              <w:kinsoku/>
              <w:wordWrap/>
              <w:overflowPunct/>
              <w:topLinePunct w:val="0"/>
              <w:autoSpaceDE w:val="0"/>
              <w:autoSpaceDN w:val="0"/>
              <w:bidi w:val="0"/>
              <w:adjustRightInd/>
              <w:snapToGrid/>
              <w:spacing w:line="236" w:lineRule="exact"/>
              <w:jc w:val="left"/>
              <w:textAlignment w:val="auto"/>
              <w:rPr>
                <w:rFonts w:hint="eastAsia"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【部门规章】《建设工程质量检测管理办法》</w:t>
            </w:r>
          </w:p>
          <w:p w14:paraId="234FDFCC">
            <w:pPr>
              <w:keepNext w:val="0"/>
              <w:keepLines w:val="0"/>
              <w:pageBreakBefore w:val="0"/>
              <w:widowControl/>
              <w:kinsoku/>
              <w:wordWrap/>
              <w:overflowPunct/>
              <w:topLinePunct w:val="0"/>
              <w:autoSpaceDE w:val="0"/>
              <w:autoSpaceDN w:val="0"/>
              <w:bidi w:val="0"/>
              <w:adjustRightInd/>
              <w:snapToGrid/>
              <w:spacing w:line="236" w:lineRule="exact"/>
              <w:ind w:firstLine="420" w:firstLineChars="200"/>
              <w:jc w:val="left"/>
              <w:textAlignment w:val="auto"/>
              <w:rPr>
                <w:rFonts w:hint="eastAsia"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第二十四条　检测机构在检测过程中发现建设、施工、监理单位存在违反有关法律法规规定和工程建设强制性标准等行为，以及检测项目涉及结构安全、主要使用功能检测结果不合格的，应当及时报告建设工程所在地县级以上地方人民政府住房和城乡建设主管部门。</w:t>
            </w:r>
          </w:p>
          <w:p w14:paraId="3C38FBE3">
            <w:pPr>
              <w:keepNext w:val="0"/>
              <w:keepLines w:val="0"/>
              <w:pageBreakBefore w:val="0"/>
              <w:widowControl/>
              <w:kinsoku/>
              <w:wordWrap/>
              <w:overflowPunct/>
              <w:topLinePunct w:val="0"/>
              <w:autoSpaceDE w:val="0"/>
              <w:autoSpaceDN w:val="0"/>
              <w:bidi w:val="0"/>
              <w:adjustRightInd/>
              <w:snapToGrid/>
              <w:spacing w:line="236" w:lineRule="exact"/>
              <w:jc w:val="left"/>
              <w:textAlignment w:val="auto"/>
              <w:rPr>
                <w:rFonts w:hint="eastAsia"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　 第四十五条　检测机构违反本办法规定，有下列行为之一的，由县级以上地方人民政府住房和城乡建设主管部门责令改正，处1万元以上5万元以下罚款：</w:t>
            </w:r>
          </w:p>
          <w:p w14:paraId="3178ABD0">
            <w:pPr>
              <w:keepNext w:val="0"/>
              <w:keepLines w:val="0"/>
              <w:pageBreakBefore w:val="0"/>
              <w:widowControl/>
              <w:kinsoku/>
              <w:wordWrap/>
              <w:overflowPunct/>
              <w:topLinePunct w:val="0"/>
              <w:autoSpaceDE w:val="0"/>
              <w:autoSpaceDN w:val="0"/>
              <w:bidi w:val="0"/>
              <w:adjustRightInd/>
              <w:snapToGrid/>
              <w:spacing w:line="236" w:lineRule="exact"/>
              <w:jc w:val="left"/>
              <w:textAlignment w:val="auto"/>
              <w:rPr>
                <w:rFonts w:hint="eastAsia"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　（四）未及时报告发现的违反有关法律法规规定和工程建设强制性标准等行为的；</w:t>
            </w:r>
          </w:p>
          <w:p w14:paraId="6EDA156E">
            <w:pPr>
              <w:keepNext w:val="0"/>
              <w:keepLines w:val="0"/>
              <w:pageBreakBefore w:val="0"/>
              <w:widowControl/>
              <w:kinsoku/>
              <w:wordWrap/>
              <w:overflowPunct/>
              <w:topLinePunct w:val="0"/>
              <w:autoSpaceDE w:val="0"/>
              <w:autoSpaceDN w:val="0"/>
              <w:bidi w:val="0"/>
              <w:adjustRightInd/>
              <w:snapToGrid/>
              <w:spacing w:line="236" w:lineRule="exact"/>
              <w:jc w:val="left"/>
              <w:textAlignment w:val="auto"/>
              <w:rPr>
                <w:rFonts w:hint="eastAsia"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　第四十六条　检测机构违反本办法规定，有违法所得的，由县级以上地方人民政府住房和城乡建设主管部门依法予以没收。</w:t>
            </w:r>
          </w:p>
          <w:p w14:paraId="07B2C25B">
            <w:pPr>
              <w:keepNext w:val="0"/>
              <w:keepLines w:val="0"/>
              <w:pageBreakBefore w:val="0"/>
              <w:widowControl/>
              <w:kinsoku/>
              <w:wordWrap/>
              <w:overflowPunct/>
              <w:topLinePunct w:val="0"/>
              <w:autoSpaceDE w:val="0"/>
              <w:autoSpaceDN w:val="0"/>
              <w:bidi w:val="0"/>
              <w:adjustRightInd/>
              <w:snapToGrid/>
              <w:spacing w:line="260" w:lineRule="exact"/>
              <w:ind w:firstLine="420" w:firstLineChars="200"/>
              <w:jc w:val="left"/>
              <w:textAlignment w:val="auto"/>
              <w:rPr>
                <w:rFonts w:hint="eastAsia" w:ascii="Times New Roman" w:hAnsi="Times New Roman" w:eastAsia="仿宋_GB2312" w:cs="方正仿宋_GBK"/>
                <w:color w:val="auto"/>
                <w:kern w:val="2"/>
                <w:sz w:val="21"/>
                <w:szCs w:val="21"/>
                <w:lang w:val="en-US" w:eastAsia="zh-CN" w:bidi="ar-SA"/>
              </w:rPr>
            </w:pPr>
            <w:r>
              <w:rPr>
                <w:rFonts w:hint="eastAsia" w:ascii="Times New Roman" w:hAnsi="Times New Roman" w:eastAsia="仿宋_GB2312" w:cs="方正仿宋_GBK"/>
                <w:color w:val="auto"/>
                <w:szCs w:val="21"/>
              </w:rPr>
              <w:t xml:space="preserve">   第四十八条　依照本办法规定，给予单位罚款处罚的，对单位直接负责的主管人员和其他直接责任人员处3万元以下罚款。</w:t>
            </w:r>
          </w:p>
        </w:tc>
        <w:tc>
          <w:tcPr>
            <w:tcW w:w="992" w:type="dxa"/>
            <w:vMerge w:val="restart"/>
            <w:shd w:val="clear" w:color="auto" w:fill="auto"/>
            <w:vAlign w:val="center"/>
          </w:tcPr>
          <w:p w14:paraId="381A9355">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现场检查、书面检查</w:t>
            </w:r>
          </w:p>
        </w:tc>
        <w:tc>
          <w:tcPr>
            <w:tcW w:w="1139" w:type="dxa"/>
            <w:vMerge w:val="restart"/>
            <w:shd w:val="clear" w:color="auto" w:fill="auto"/>
            <w:vAlign w:val="center"/>
          </w:tcPr>
          <w:p w14:paraId="73B08B75">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双随机+重点检查</w:t>
            </w:r>
          </w:p>
        </w:tc>
        <w:tc>
          <w:tcPr>
            <w:tcW w:w="1491" w:type="dxa"/>
            <w:shd w:val="clear" w:color="auto" w:fill="auto"/>
            <w:vAlign w:val="center"/>
          </w:tcPr>
          <w:p w14:paraId="6AA5B84F">
            <w:pPr>
              <w:widowControl/>
              <w:spacing w:line="280" w:lineRule="exact"/>
              <w:jc w:val="center"/>
              <w:textAlignment w:val="center"/>
              <w:rPr>
                <w:rFonts w:hint="eastAsia" w:ascii="Times New Roman" w:hAnsi="Times New Roman" w:eastAsia="仿宋_GB2312" w:cs="方正仿宋_GBK"/>
                <w:color w:val="auto"/>
                <w:kern w:val="0"/>
                <w:sz w:val="21"/>
                <w:szCs w:val="21"/>
                <w:lang w:val="en-US" w:eastAsia="zh-CN" w:bidi="ar"/>
              </w:rPr>
            </w:pPr>
            <w:r>
              <w:rPr>
                <w:rFonts w:hint="eastAsia" w:ascii="Times New Roman" w:hAnsi="Times New Roman" w:eastAsia="仿宋_GB2312" w:cs="方正仿宋_GBK"/>
                <w:color w:val="auto"/>
                <w:kern w:val="0"/>
                <w:szCs w:val="21"/>
                <w:lang w:bidi="ar"/>
              </w:rPr>
              <w:t>320217616000</w:t>
            </w:r>
          </w:p>
        </w:tc>
        <w:tc>
          <w:tcPr>
            <w:tcW w:w="1481" w:type="dxa"/>
            <w:shd w:val="clear" w:color="auto" w:fill="auto"/>
            <w:vAlign w:val="center"/>
          </w:tcPr>
          <w:p w14:paraId="4D1E5CD6">
            <w:pPr>
              <w:widowControl/>
              <w:spacing w:line="260" w:lineRule="exact"/>
              <w:jc w:val="left"/>
              <w:textAlignment w:val="center"/>
              <w:rPr>
                <w:rFonts w:hint="eastAsia" w:ascii="Times New Roman" w:hAnsi="Times New Roman" w:eastAsia="仿宋_GB2312" w:cs="方正仿宋_GBK"/>
                <w:color w:val="auto"/>
                <w:kern w:val="0"/>
                <w:sz w:val="21"/>
                <w:szCs w:val="21"/>
                <w:lang w:val="en-US" w:eastAsia="zh-CN" w:bidi="ar"/>
              </w:rPr>
            </w:pPr>
            <w:r>
              <w:rPr>
                <w:rFonts w:hint="eastAsia" w:ascii="Times New Roman" w:hAnsi="Times New Roman" w:eastAsia="仿宋_GB2312" w:cs="方正仿宋_GBK"/>
                <w:color w:val="auto"/>
                <w:kern w:val="0"/>
                <w:szCs w:val="21"/>
                <w:lang w:bidi="ar"/>
              </w:rPr>
              <w:t>对建设、施工、监理等单位委托未取得相应资质的检测机构进行检测的处罚</w:t>
            </w:r>
          </w:p>
        </w:tc>
        <w:tc>
          <w:tcPr>
            <w:tcW w:w="622" w:type="dxa"/>
            <w:vAlign w:val="center"/>
          </w:tcPr>
          <w:p w14:paraId="6D81E8E8">
            <w:pPr>
              <w:widowControl/>
              <w:autoSpaceDE w:val="0"/>
              <w:autoSpaceDN w:val="0"/>
              <w:spacing w:line="280" w:lineRule="exact"/>
              <w:jc w:val="left"/>
              <w:rPr>
                <w:rFonts w:ascii="Times New Roman" w:hAnsi="Times New Roman" w:eastAsia="仿宋_GB2312" w:cs="方正仿宋_GBK"/>
                <w:color w:val="auto"/>
                <w:szCs w:val="21"/>
              </w:rPr>
            </w:pPr>
          </w:p>
        </w:tc>
      </w:tr>
      <w:tr w14:paraId="0BEBDA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6" w:type="dxa"/>
            <w:vMerge w:val="continue"/>
            <w:vAlign w:val="center"/>
          </w:tcPr>
          <w:p w14:paraId="159898A0">
            <w:pPr>
              <w:widowControl/>
              <w:autoSpaceDE w:val="0"/>
              <w:autoSpaceDN w:val="0"/>
              <w:spacing w:line="280" w:lineRule="exact"/>
              <w:jc w:val="left"/>
              <w:rPr>
                <w:rFonts w:hint="default" w:ascii="Times New Roman" w:hAnsi="Times New Roman" w:eastAsia="仿宋_GB2312" w:cs="方正仿宋_GBK"/>
                <w:color w:val="auto"/>
                <w:szCs w:val="21"/>
                <w:lang w:val="en-US" w:eastAsia="zh-CN"/>
              </w:rPr>
            </w:pPr>
          </w:p>
        </w:tc>
        <w:tc>
          <w:tcPr>
            <w:tcW w:w="1324" w:type="dxa"/>
            <w:vMerge w:val="continue"/>
            <w:vAlign w:val="center"/>
          </w:tcPr>
          <w:p w14:paraId="3F1E7495">
            <w:pPr>
              <w:widowControl/>
              <w:autoSpaceDE w:val="0"/>
              <w:autoSpaceDN w:val="0"/>
              <w:spacing w:line="280" w:lineRule="exact"/>
              <w:jc w:val="left"/>
              <w:rPr>
                <w:rFonts w:ascii="Times New Roman" w:hAnsi="Times New Roman" w:eastAsia="仿宋_GB2312" w:cs="方正仿宋_GBK"/>
                <w:color w:val="auto"/>
                <w:szCs w:val="21"/>
              </w:rPr>
            </w:pPr>
          </w:p>
        </w:tc>
        <w:tc>
          <w:tcPr>
            <w:tcW w:w="794" w:type="dxa"/>
            <w:vMerge w:val="continue"/>
            <w:vAlign w:val="center"/>
          </w:tcPr>
          <w:p w14:paraId="49FDC38B">
            <w:pPr>
              <w:widowControl/>
              <w:autoSpaceDE w:val="0"/>
              <w:autoSpaceDN w:val="0"/>
              <w:spacing w:line="280" w:lineRule="exact"/>
              <w:jc w:val="center"/>
              <w:rPr>
                <w:rFonts w:ascii="Times New Roman" w:hAnsi="Times New Roman" w:eastAsia="仿宋_GB2312" w:cs="方正仿宋_GBK"/>
                <w:color w:val="auto"/>
                <w:szCs w:val="21"/>
              </w:rPr>
            </w:pPr>
          </w:p>
        </w:tc>
        <w:tc>
          <w:tcPr>
            <w:tcW w:w="872" w:type="dxa"/>
            <w:vMerge w:val="continue"/>
            <w:vAlign w:val="center"/>
          </w:tcPr>
          <w:p w14:paraId="60604E43">
            <w:pPr>
              <w:autoSpaceDE w:val="0"/>
              <w:autoSpaceDN w:val="0"/>
              <w:spacing w:line="280" w:lineRule="exact"/>
              <w:jc w:val="left"/>
              <w:rPr>
                <w:rFonts w:ascii="Times New Roman" w:hAnsi="Times New Roman" w:eastAsia="仿宋_GB2312" w:cs="方正仿宋_GBK"/>
                <w:color w:val="auto"/>
                <w:szCs w:val="21"/>
              </w:rPr>
            </w:pPr>
          </w:p>
        </w:tc>
        <w:tc>
          <w:tcPr>
            <w:tcW w:w="869" w:type="dxa"/>
            <w:vMerge w:val="continue"/>
            <w:vAlign w:val="center"/>
          </w:tcPr>
          <w:p w14:paraId="27DDE5A3">
            <w:pPr>
              <w:widowControl/>
              <w:autoSpaceDE w:val="0"/>
              <w:autoSpaceDN w:val="0"/>
              <w:spacing w:line="280" w:lineRule="exact"/>
              <w:jc w:val="left"/>
              <w:rPr>
                <w:rFonts w:ascii="Times New Roman" w:hAnsi="Times New Roman" w:eastAsia="仿宋_GB2312" w:cs="方正仿宋_GBK"/>
                <w:color w:val="auto"/>
                <w:szCs w:val="21"/>
              </w:rPr>
            </w:pPr>
          </w:p>
        </w:tc>
        <w:tc>
          <w:tcPr>
            <w:tcW w:w="4962" w:type="dxa"/>
            <w:vAlign w:val="center"/>
          </w:tcPr>
          <w:p w14:paraId="77C12207">
            <w:pPr>
              <w:keepNext w:val="0"/>
              <w:keepLines w:val="0"/>
              <w:pageBreakBefore w:val="0"/>
              <w:widowControl/>
              <w:kinsoku/>
              <w:wordWrap/>
              <w:overflowPunct/>
              <w:topLinePunct w:val="0"/>
              <w:autoSpaceDE w:val="0"/>
              <w:autoSpaceDN w:val="0"/>
              <w:bidi w:val="0"/>
              <w:adjustRightInd/>
              <w:snapToGrid/>
              <w:spacing w:line="236" w:lineRule="exact"/>
              <w:jc w:val="left"/>
              <w:textAlignment w:val="auto"/>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【规章】《建设工程质量检测管理办法》</w:t>
            </w:r>
          </w:p>
          <w:p w14:paraId="5A8807FF">
            <w:pPr>
              <w:keepNext w:val="0"/>
              <w:keepLines w:val="0"/>
              <w:pageBreakBefore w:val="0"/>
              <w:widowControl/>
              <w:kinsoku/>
              <w:wordWrap/>
              <w:overflowPunct/>
              <w:topLinePunct w:val="0"/>
              <w:autoSpaceDE w:val="0"/>
              <w:autoSpaceDN w:val="0"/>
              <w:bidi w:val="0"/>
              <w:adjustRightInd/>
              <w:snapToGrid/>
              <w:spacing w:line="236" w:lineRule="exact"/>
              <w:ind w:firstLine="420" w:firstLineChars="200"/>
              <w:jc w:val="left"/>
              <w:textAlignment w:val="auto"/>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第二十六条　检测机构应当建立档案管理制度。检测合同、委托单、检测数据原始记录、检测报告按照年度统一编号，编号应当连续，不得随意抽撤、涂改。</w:t>
            </w:r>
          </w:p>
          <w:p w14:paraId="4797F1B7">
            <w:pPr>
              <w:keepNext w:val="0"/>
              <w:keepLines w:val="0"/>
              <w:pageBreakBefore w:val="0"/>
              <w:widowControl/>
              <w:kinsoku/>
              <w:wordWrap/>
              <w:overflowPunct/>
              <w:topLinePunct w:val="0"/>
              <w:autoSpaceDE w:val="0"/>
              <w:autoSpaceDN w:val="0"/>
              <w:bidi w:val="0"/>
              <w:adjustRightInd/>
              <w:snapToGrid/>
              <w:spacing w:line="236" w:lineRule="exact"/>
              <w:ind w:firstLine="420" w:firstLineChars="200"/>
              <w:jc w:val="left"/>
              <w:textAlignment w:val="auto"/>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检测机构应当单独建立检测结果不合格项目台账。</w:t>
            </w:r>
          </w:p>
          <w:p w14:paraId="71EB00F1">
            <w:pPr>
              <w:keepNext w:val="0"/>
              <w:keepLines w:val="0"/>
              <w:pageBreakBefore w:val="0"/>
              <w:widowControl/>
              <w:kinsoku/>
              <w:wordWrap/>
              <w:overflowPunct/>
              <w:topLinePunct w:val="0"/>
              <w:autoSpaceDE w:val="0"/>
              <w:autoSpaceDN w:val="0"/>
              <w:bidi w:val="0"/>
              <w:adjustRightInd/>
              <w:snapToGrid/>
              <w:spacing w:line="236" w:lineRule="exact"/>
              <w:ind w:firstLine="420" w:firstLineChars="200"/>
              <w:jc w:val="left"/>
              <w:textAlignment w:val="auto"/>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第四十五条　检测机构违反本办法规定，有下列行为之一的，由县级以上地方人民政府住房和城乡建设主管部门责令改正，处1万元以上5万元以下罚款：</w:t>
            </w:r>
          </w:p>
          <w:p w14:paraId="74546A5A">
            <w:pPr>
              <w:keepNext w:val="0"/>
              <w:keepLines w:val="0"/>
              <w:pageBreakBefore w:val="0"/>
              <w:widowControl/>
              <w:kinsoku/>
              <w:wordWrap/>
              <w:overflowPunct/>
              <w:topLinePunct w:val="0"/>
              <w:autoSpaceDE w:val="0"/>
              <w:autoSpaceDN w:val="0"/>
              <w:bidi w:val="0"/>
              <w:adjustRightInd/>
              <w:snapToGrid/>
              <w:spacing w:line="236" w:lineRule="exact"/>
              <w:ind w:firstLine="420" w:firstLineChars="200"/>
              <w:jc w:val="left"/>
              <w:textAlignment w:val="auto"/>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（六）未按照规定进行档案和台账管理的；</w:t>
            </w:r>
          </w:p>
          <w:p w14:paraId="5C9B3C08">
            <w:pPr>
              <w:keepNext w:val="0"/>
              <w:keepLines w:val="0"/>
              <w:pageBreakBefore w:val="0"/>
              <w:widowControl/>
              <w:kinsoku/>
              <w:wordWrap/>
              <w:overflowPunct/>
              <w:topLinePunct w:val="0"/>
              <w:autoSpaceDE w:val="0"/>
              <w:autoSpaceDN w:val="0"/>
              <w:bidi w:val="0"/>
              <w:adjustRightInd/>
              <w:snapToGrid/>
              <w:spacing w:line="236" w:lineRule="exact"/>
              <w:ind w:firstLine="420" w:firstLineChars="200"/>
              <w:jc w:val="left"/>
              <w:textAlignment w:val="auto"/>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第四十六条　检测机构违反本办法规定，有违法所得的，由县级以上地方人民政府住房和城乡建设主管部门依法予以没收。</w:t>
            </w:r>
          </w:p>
          <w:p w14:paraId="5DA871BA">
            <w:pPr>
              <w:keepNext w:val="0"/>
              <w:keepLines w:val="0"/>
              <w:pageBreakBefore w:val="0"/>
              <w:widowControl/>
              <w:kinsoku/>
              <w:wordWrap/>
              <w:overflowPunct/>
              <w:topLinePunct w:val="0"/>
              <w:autoSpaceDE w:val="0"/>
              <w:autoSpaceDN w:val="0"/>
              <w:bidi w:val="0"/>
              <w:adjustRightInd/>
              <w:snapToGrid/>
              <w:spacing w:line="236" w:lineRule="exact"/>
              <w:ind w:firstLine="420" w:firstLineChars="200"/>
              <w:jc w:val="left"/>
              <w:textAlignment w:val="auto"/>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第四十八条　依照本办法规定，给予单位罚款处罚的，对单位直接负责的主管人员和其他直接责任人员处3万元以下罚款。</w:t>
            </w:r>
          </w:p>
        </w:tc>
        <w:tc>
          <w:tcPr>
            <w:tcW w:w="992" w:type="dxa"/>
            <w:vMerge w:val="continue"/>
            <w:vAlign w:val="center"/>
          </w:tcPr>
          <w:p w14:paraId="7F95927B">
            <w:pPr>
              <w:widowControl/>
              <w:autoSpaceDE w:val="0"/>
              <w:autoSpaceDN w:val="0"/>
              <w:spacing w:line="280" w:lineRule="exact"/>
              <w:jc w:val="left"/>
              <w:rPr>
                <w:rFonts w:ascii="Times New Roman" w:hAnsi="Times New Roman" w:eastAsia="仿宋_GB2312" w:cs="方正仿宋_GBK"/>
                <w:color w:val="auto"/>
                <w:szCs w:val="21"/>
              </w:rPr>
            </w:pPr>
          </w:p>
        </w:tc>
        <w:tc>
          <w:tcPr>
            <w:tcW w:w="1139" w:type="dxa"/>
            <w:vMerge w:val="continue"/>
            <w:vAlign w:val="center"/>
          </w:tcPr>
          <w:p w14:paraId="10C6B10D">
            <w:pPr>
              <w:widowControl/>
              <w:autoSpaceDE w:val="0"/>
              <w:autoSpaceDN w:val="0"/>
              <w:spacing w:line="280" w:lineRule="exact"/>
              <w:jc w:val="left"/>
              <w:rPr>
                <w:rFonts w:ascii="Times New Roman" w:hAnsi="Times New Roman" w:eastAsia="仿宋_GB2312" w:cs="方正仿宋_GBK"/>
                <w:color w:val="auto"/>
                <w:szCs w:val="21"/>
              </w:rPr>
            </w:pPr>
          </w:p>
        </w:tc>
        <w:tc>
          <w:tcPr>
            <w:tcW w:w="1491" w:type="dxa"/>
            <w:vAlign w:val="center"/>
          </w:tcPr>
          <w:p w14:paraId="3AE9B246">
            <w:pPr>
              <w:widowControl/>
              <w:spacing w:line="280" w:lineRule="exact"/>
              <w:jc w:val="center"/>
              <w:textAlignment w:val="center"/>
              <w:rPr>
                <w:rFonts w:ascii="Times New Roman" w:hAnsi="Times New Roman" w:eastAsia="仿宋_GB2312" w:cs="方正仿宋_GBK"/>
                <w:color w:val="auto"/>
                <w:kern w:val="0"/>
                <w:szCs w:val="21"/>
                <w:lang w:bidi="ar"/>
              </w:rPr>
            </w:pPr>
            <w:r>
              <w:rPr>
                <w:rFonts w:hint="eastAsia" w:ascii="Times New Roman" w:hAnsi="Times New Roman" w:eastAsia="仿宋_GB2312" w:cs="方正仿宋_GBK"/>
                <w:color w:val="auto"/>
                <w:kern w:val="0"/>
                <w:szCs w:val="21"/>
                <w:lang w:bidi="ar"/>
              </w:rPr>
              <w:t>320217518000</w:t>
            </w:r>
          </w:p>
        </w:tc>
        <w:tc>
          <w:tcPr>
            <w:tcW w:w="1481" w:type="dxa"/>
            <w:vAlign w:val="center"/>
          </w:tcPr>
          <w:p w14:paraId="71A93C62">
            <w:pPr>
              <w:widowControl/>
              <w:spacing w:line="280" w:lineRule="exact"/>
              <w:jc w:val="left"/>
              <w:textAlignment w:val="center"/>
              <w:rPr>
                <w:rFonts w:ascii="Times New Roman" w:hAnsi="Times New Roman" w:eastAsia="仿宋_GB2312" w:cs="方正仿宋_GBK"/>
                <w:color w:val="auto"/>
                <w:kern w:val="0"/>
                <w:szCs w:val="21"/>
                <w:lang w:bidi="ar"/>
              </w:rPr>
            </w:pPr>
            <w:r>
              <w:rPr>
                <w:rFonts w:hint="eastAsia" w:ascii="Times New Roman" w:hAnsi="Times New Roman" w:eastAsia="仿宋_GB2312" w:cs="方正仿宋_GBK"/>
                <w:color w:val="auto"/>
                <w:kern w:val="0"/>
                <w:szCs w:val="21"/>
                <w:lang w:bidi="ar"/>
              </w:rPr>
              <w:t>对检测机构未按照规定进行档案和台账管理的处罚</w:t>
            </w:r>
          </w:p>
        </w:tc>
        <w:tc>
          <w:tcPr>
            <w:tcW w:w="622" w:type="dxa"/>
            <w:vAlign w:val="center"/>
          </w:tcPr>
          <w:p w14:paraId="40A6A8B3">
            <w:pPr>
              <w:widowControl/>
              <w:autoSpaceDE w:val="0"/>
              <w:autoSpaceDN w:val="0"/>
              <w:spacing w:line="280" w:lineRule="exact"/>
              <w:jc w:val="left"/>
              <w:rPr>
                <w:rFonts w:ascii="Times New Roman" w:hAnsi="Times New Roman" w:eastAsia="仿宋_GB2312" w:cs="方正仿宋_GBK"/>
                <w:color w:val="auto"/>
                <w:szCs w:val="21"/>
              </w:rPr>
            </w:pPr>
          </w:p>
        </w:tc>
      </w:tr>
      <w:tr w14:paraId="0C30D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86" w:hRule="atLeast"/>
          <w:jc w:val="center"/>
        </w:trPr>
        <w:tc>
          <w:tcPr>
            <w:tcW w:w="536" w:type="dxa"/>
            <w:vMerge w:val="restart"/>
            <w:shd w:val="clear" w:color="auto" w:fill="auto"/>
            <w:vAlign w:val="center"/>
          </w:tcPr>
          <w:p w14:paraId="117A1B74">
            <w:pPr>
              <w:widowControl/>
              <w:autoSpaceDE w:val="0"/>
              <w:autoSpaceDN w:val="0"/>
              <w:spacing w:line="280" w:lineRule="exact"/>
              <w:jc w:val="left"/>
              <w:rPr>
                <w:rFonts w:hint="default" w:ascii="Times New Roman" w:hAnsi="Times New Roman" w:eastAsia="仿宋_GB2312" w:cs="方正仿宋_GBK"/>
                <w:color w:val="auto"/>
                <w:kern w:val="2"/>
                <w:sz w:val="21"/>
                <w:szCs w:val="21"/>
                <w:lang w:val="en-US" w:eastAsia="zh-CN" w:bidi="ar-SA"/>
              </w:rPr>
            </w:pPr>
            <w:r>
              <w:rPr>
                <w:rFonts w:hint="eastAsia" w:ascii="Times New Roman" w:hAnsi="Times New Roman" w:eastAsia="仿宋_GB2312" w:cs="方正仿宋_GBK"/>
                <w:color w:val="auto"/>
                <w:szCs w:val="21"/>
                <w:lang w:val="en-US" w:eastAsia="zh-CN"/>
              </w:rPr>
              <w:t>16</w:t>
            </w:r>
          </w:p>
        </w:tc>
        <w:tc>
          <w:tcPr>
            <w:tcW w:w="1324" w:type="dxa"/>
            <w:vMerge w:val="restart"/>
            <w:shd w:val="clear" w:color="auto" w:fill="auto"/>
            <w:vAlign w:val="center"/>
          </w:tcPr>
          <w:p w14:paraId="545906C7">
            <w:pPr>
              <w:widowControl/>
              <w:autoSpaceDE w:val="0"/>
              <w:autoSpaceDN w:val="0"/>
              <w:spacing w:line="280" w:lineRule="exact"/>
              <w:jc w:val="left"/>
              <w:rPr>
                <w:rFonts w:ascii="Times New Roman" w:hAnsi="Times New Roman" w:eastAsia="仿宋_GB2312" w:cs="方正仿宋_GBK"/>
                <w:color w:val="auto"/>
                <w:kern w:val="2"/>
                <w:sz w:val="21"/>
                <w:szCs w:val="21"/>
                <w:lang w:val="en-US" w:eastAsia="zh-CN" w:bidi="ar-SA"/>
              </w:rPr>
            </w:pPr>
            <w:r>
              <w:rPr>
                <w:rFonts w:hint="eastAsia" w:ascii="Times New Roman" w:hAnsi="Times New Roman" w:eastAsia="仿宋_GB2312" w:cs="方正仿宋_GBK"/>
                <w:color w:val="auto"/>
                <w:szCs w:val="21"/>
              </w:rPr>
              <w:t>对工程质量检测机构的行政检查</w:t>
            </w:r>
          </w:p>
        </w:tc>
        <w:tc>
          <w:tcPr>
            <w:tcW w:w="794" w:type="dxa"/>
            <w:vMerge w:val="restart"/>
            <w:shd w:val="clear" w:color="auto" w:fill="auto"/>
            <w:vAlign w:val="center"/>
          </w:tcPr>
          <w:p w14:paraId="208D8675">
            <w:pPr>
              <w:widowControl/>
              <w:autoSpaceDE w:val="0"/>
              <w:autoSpaceDN w:val="0"/>
              <w:spacing w:line="280" w:lineRule="exact"/>
              <w:jc w:val="center"/>
              <w:rPr>
                <w:rFonts w:ascii="Times New Roman" w:hAnsi="Times New Roman" w:eastAsia="仿宋_GB2312" w:cs="方正仿宋_GBK"/>
                <w:color w:val="auto"/>
                <w:kern w:val="2"/>
                <w:sz w:val="21"/>
                <w:szCs w:val="21"/>
                <w:lang w:val="en-US" w:eastAsia="zh-CN" w:bidi="ar-SA"/>
              </w:rPr>
            </w:pPr>
            <w:r>
              <w:rPr>
                <w:rFonts w:hint="eastAsia" w:ascii="Times New Roman" w:hAnsi="Times New Roman" w:eastAsia="仿宋_GB2312" w:cs="方正仿宋_GBK"/>
                <w:color w:val="auto"/>
                <w:szCs w:val="21"/>
              </w:rPr>
              <w:t>苏州市相城区住房和城乡建设局</w:t>
            </w:r>
          </w:p>
        </w:tc>
        <w:tc>
          <w:tcPr>
            <w:tcW w:w="872" w:type="dxa"/>
            <w:vMerge w:val="restart"/>
            <w:shd w:val="clear" w:color="auto" w:fill="auto"/>
            <w:vAlign w:val="center"/>
          </w:tcPr>
          <w:p w14:paraId="324BEFFD">
            <w:pPr>
              <w:autoSpaceDE w:val="0"/>
              <w:autoSpaceDN w:val="0"/>
              <w:spacing w:line="280" w:lineRule="exact"/>
              <w:jc w:val="left"/>
              <w:rPr>
                <w:rFonts w:ascii="Times New Roman" w:hAnsi="Times New Roman" w:eastAsia="仿宋_GB2312" w:cs="方正仿宋_GBK"/>
                <w:color w:val="auto"/>
                <w:kern w:val="2"/>
                <w:sz w:val="21"/>
                <w:szCs w:val="21"/>
                <w:lang w:val="en-US" w:eastAsia="zh-CN" w:bidi="ar-SA"/>
              </w:rPr>
            </w:pPr>
            <w:r>
              <w:rPr>
                <w:rFonts w:hint="eastAsia" w:ascii="Times New Roman" w:hAnsi="Times New Roman" w:eastAsia="仿宋_GB2312" w:cs="方正仿宋_GBK"/>
                <w:color w:val="auto"/>
                <w:szCs w:val="21"/>
              </w:rPr>
              <w:t>相城区建设工程质量安全监督中心</w:t>
            </w:r>
          </w:p>
        </w:tc>
        <w:tc>
          <w:tcPr>
            <w:tcW w:w="869" w:type="dxa"/>
            <w:vMerge w:val="restart"/>
            <w:shd w:val="clear" w:color="auto" w:fill="auto"/>
            <w:vAlign w:val="center"/>
          </w:tcPr>
          <w:p w14:paraId="63E80E21">
            <w:pPr>
              <w:widowControl/>
              <w:autoSpaceDE w:val="0"/>
              <w:autoSpaceDN w:val="0"/>
              <w:spacing w:line="280" w:lineRule="exact"/>
              <w:jc w:val="left"/>
              <w:rPr>
                <w:rFonts w:ascii="Times New Roman" w:hAnsi="Times New Roman" w:eastAsia="仿宋_GB2312" w:cs="方正仿宋_GBK"/>
                <w:color w:val="auto"/>
                <w:kern w:val="2"/>
                <w:sz w:val="21"/>
                <w:szCs w:val="21"/>
                <w:lang w:val="en-US" w:eastAsia="zh-CN" w:bidi="ar-SA"/>
              </w:rPr>
            </w:pPr>
            <w:r>
              <w:rPr>
                <w:rFonts w:hint="eastAsia" w:ascii="Times New Roman" w:hAnsi="Times New Roman" w:eastAsia="仿宋_GB2312" w:cs="方正仿宋_GBK"/>
                <w:color w:val="auto"/>
                <w:szCs w:val="21"/>
              </w:rPr>
              <w:t>工程质量检测单位</w:t>
            </w:r>
          </w:p>
        </w:tc>
        <w:tc>
          <w:tcPr>
            <w:tcW w:w="4962" w:type="dxa"/>
            <w:vAlign w:val="center"/>
          </w:tcPr>
          <w:p w14:paraId="516161FC">
            <w:pPr>
              <w:widowControl/>
              <w:autoSpaceDE w:val="0"/>
              <w:autoSpaceDN w:val="0"/>
              <w:spacing w:line="250" w:lineRule="exact"/>
              <w:jc w:val="left"/>
              <w:rPr>
                <w:rFonts w:hint="eastAsia"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【部门规章】《建设工程质量检测管理办法》（2022年12月29日中华人民共和国住房和城乡建设部令第57号公布　自2023年3月1日起施行）</w:t>
            </w:r>
          </w:p>
          <w:p w14:paraId="3F55241E">
            <w:pPr>
              <w:keepNext w:val="0"/>
              <w:keepLines w:val="0"/>
              <w:pageBreakBefore w:val="0"/>
              <w:widowControl/>
              <w:kinsoku/>
              <w:wordWrap/>
              <w:overflowPunct/>
              <w:topLinePunct w:val="0"/>
              <w:autoSpaceDE w:val="0"/>
              <w:autoSpaceDN w:val="0"/>
              <w:bidi w:val="0"/>
              <w:adjustRightInd/>
              <w:snapToGrid/>
              <w:spacing w:line="250" w:lineRule="exact"/>
              <w:ind w:firstLine="420" w:firstLineChars="200"/>
              <w:jc w:val="left"/>
              <w:textAlignment w:val="auto"/>
              <w:rPr>
                <w:rFonts w:hint="eastAsia"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第三十条　检测机构不得有下列行为：</w:t>
            </w:r>
          </w:p>
          <w:p w14:paraId="0317A0EE">
            <w:pPr>
              <w:keepNext w:val="0"/>
              <w:keepLines w:val="0"/>
              <w:pageBreakBefore w:val="0"/>
              <w:widowControl/>
              <w:kinsoku/>
              <w:wordWrap/>
              <w:overflowPunct/>
              <w:topLinePunct w:val="0"/>
              <w:autoSpaceDE w:val="0"/>
              <w:autoSpaceDN w:val="0"/>
              <w:bidi w:val="0"/>
              <w:adjustRightInd/>
              <w:snapToGrid/>
              <w:spacing w:line="250" w:lineRule="exact"/>
              <w:ind w:firstLine="420" w:firstLineChars="200"/>
              <w:jc w:val="left"/>
              <w:textAlignment w:val="auto"/>
              <w:rPr>
                <w:rFonts w:hint="eastAsia"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（四）违反工程建设强制性标准进行检测；</w:t>
            </w:r>
          </w:p>
          <w:p w14:paraId="60EC4487">
            <w:pPr>
              <w:keepNext w:val="0"/>
              <w:keepLines w:val="0"/>
              <w:pageBreakBefore w:val="0"/>
              <w:widowControl/>
              <w:kinsoku/>
              <w:wordWrap/>
              <w:overflowPunct/>
              <w:topLinePunct w:val="0"/>
              <w:autoSpaceDE w:val="0"/>
              <w:autoSpaceDN w:val="0"/>
              <w:bidi w:val="0"/>
              <w:adjustRightInd/>
              <w:snapToGrid/>
              <w:spacing w:line="250" w:lineRule="exact"/>
              <w:ind w:firstLine="420" w:firstLineChars="200"/>
              <w:jc w:val="left"/>
              <w:textAlignment w:val="auto"/>
              <w:rPr>
                <w:rFonts w:hint="eastAsia"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第四十四条第一款　检测机构违反本办法规定，有第三十条第二项至第五项行为之一的，由县级以上地方人民政府住房和城乡建设主管部门责令改正，处5万元以上10万元以下罚款；造成危害后果的，处10万元以上20万元以下罚款；构成犯罪的，依法追究刑事责任。</w:t>
            </w:r>
          </w:p>
          <w:p w14:paraId="5F0952FC">
            <w:pPr>
              <w:keepNext w:val="0"/>
              <w:keepLines w:val="0"/>
              <w:pageBreakBefore w:val="0"/>
              <w:widowControl/>
              <w:kinsoku/>
              <w:wordWrap/>
              <w:overflowPunct/>
              <w:topLinePunct w:val="0"/>
              <w:autoSpaceDE w:val="0"/>
              <w:autoSpaceDN w:val="0"/>
              <w:bidi w:val="0"/>
              <w:adjustRightInd/>
              <w:snapToGrid/>
              <w:spacing w:line="250" w:lineRule="exact"/>
              <w:ind w:firstLine="420" w:firstLineChars="200"/>
              <w:jc w:val="left"/>
              <w:textAlignment w:val="auto"/>
              <w:rPr>
                <w:rFonts w:hint="eastAsia"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第四十六条　检测机构违反本办法规定，有违法所得的，由县级以上地方人民政府住房和城乡建设主管部门依法予以没收。</w:t>
            </w:r>
          </w:p>
          <w:p w14:paraId="50375AB6">
            <w:pPr>
              <w:keepNext w:val="0"/>
              <w:keepLines w:val="0"/>
              <w:pageBreakBefore w:val="0"/>
              <w:widowControl/>
              <w:kinsoku/>
              <w:wordWrap/>
              <w:overflowPunct/>
              <w:topLinePunct w:val="0"/>
              <w:autoSpaceDE w:val="0"/>
              <w:autoSpaceDN w:val="0"/>
              <w:bidi w:val="0"/>
              <w:adjustRightInd/>
              <w:snapToGrid/>
              <w:spacing w:line="250" w:lineRule="exact"/>
              <w:ind w:firstLine="420" w:firstLineChars="200"/>
              <w:jc w:val="left"/>
              <w:textAlignment w:val="auto"/>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第四十八条　依照本办法规定，给予单位罚款处罚的，对单位直接负责的主管人员和其他直接责任人员处3万元以下罚款。</w:t>
            </w:r>
          </w:p>
        </w:tc>
        <w:tc>
          <w:tcPr>
            <w:tcW w:w="992" w:type="dxa"/>
            <w:vMerge w:val="restart"/>
            <w:vAlign w:val="center"/>
          </w:tcPr>
          <w:p w14:paraId="163A53ED">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现场检查、书面检查</w:t>
            </w:r>
          </w:p>
        </w:tc>
        <w:tc>
          <w:tcPr>
            <w:tcW w:w="1139" w:type="dxa"/>
            <w:vMerge w:val="restart"/>
            <w:vAlign w:val="center"/>
          </w:tcPr>
          <w:p w14:paraId="40803E67">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双随机+重点检查</w:t>
            </w:r>
          </w:p>
        </w:tc>
        <w:tc>
          <w:tcPr>
            <w:tcW w:w="1491" w:type="dxa"/>
            <w:vAlign w:val="center"/>
          </w:tcPr>
          <w:p w14:paraId="48E7B065">
            <w:pPr>
              <w:widowControl/>
              <w:spacing w:line="280" w:lineRule="exact"/>
              <w:jc w:val="center"/>
              <w:textAlignment w:val="center"/>
              <w:rPr>
                <w:rFonts w:ascii="Times New Roman" w:hAnsi="Times New Roman" w:eastAsia="仿宋_GB2312" w:cs="方正仿宋_GBK"/>
                <w:color w:val="auto"/>
                <w:kern w:val="0"/>
                <w:szCs w:val="21"/>
                <w:lang w:bidi="ar"/>
              </w:rPr>
            </w:pPr>
            <w:r>
              <w:rPr>
                <w:rFonts w:hint="eastAsia" w:ascii="Times New Roman" w:hAnsi="Times New Roman" w:eastAsia="仿宋_GB2312" w:cs="方正仿宋_GBK"/>
                <w:color w:val="auto"/>
                <w:kern w:val="0"/>
                <w:szCs w:val="21"/>
                <w:lang w:bidi="ar"/>
              </w:rPr>
              <w:t>320217533000</w:t>
            </w:r>
          </w:p>
        </w:tc>
        <w:tc>
          <w:tcPr>
            <w:tcW w:w="1481" w:type="dxa"/>
            <w:vAlign w:val="center"/>
          </w:tcPr>
          <w:p w14:paraId="6EF68A69">
            <w:pPr>
              <w:widowControl/>
              <w:spacing w:line="280" w:lineRule="exact"/>
              <w:jc w:val="left"/>
              <w:textAlignment w:val="center"/>
              <w:rPr>
                <w:rFonts w:ascii="Times New Roman" w:hAnsi="Times New Roman" w:eastAsia="仿宋_GB2312" w:cs="方正仿宋_GBK"/>
                <w:color w:val="auto"/>
                <w:kern w:val="0"/>
                <w:szCs w:val="21"/>
                <w:lang w:bidi="ar"/>
              </w:rPr>
            </w:pPr>
            <w:r>
              <w:rPr>
                <w:rFonts w:hint="eastAsia" w:ascii="Times New Roman" w:hAnsi="Times New Roman" w:eastAsia="仿宋_GB2312" w:cs="方正仿宋_GBK"/>
                <w:color w:val="auto"/>
                <w:kern w:val="0"/>
                <w:szCs w:val="21"/>
                <w:lang w:bidi="ar"/>
              </w:rPr>
              <w:t>对检测机构违反工程建设强制性标准进行检测的处罚</w:t>
            </w:r>
          </w:p>
        </w:tc>
        <w:tc>
          <w:tcPr>
            <w:tcW w:w="622" w:type="dxa"/>
            <w:vAlign w:val="center"/>
          </w:tcPr>
          <w:p w14:paraId="0E15A2ED">
            <w:pPr>
              <w:widowControl/>
              <w:autoSpaceDE w:val="0"/>
              <w:autoSpaceDN w:val="0"/>
              <w:spacing w:line="280" w:lineRule="exact"/>
              <w:jc w:val="left"/>
              <w:rPr>
                <w:rFonts w:ascii="Times New Roman" w:hAnsi="Times New Roman" w:eastAsia="仿宋_GB2312" w:cs="方正仿宋_GBK"/>
                <w:color w:val="auto"/>
                <w:szCs w:val="21"/>
              </w:rPr>
            </w:pPr>
          </w:p>
        </w:tc>
      </w:tr>
      <w:tr w14:paraId="4DFBF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3" w:hRule="atLeast"/>
          <w:jc w:val="center"/>
        </w:trPr>
        <w:tc>
          <w:tcPr>
            <w:tcW w:w="536" w:type="dxa"/>
            <w:vMerge w:val="continue"/>
            <w:vAlign w:val="center"/>
          </w:tcPr>
          <w:p w14:paraId="6E5E056A">
            <w:pPr>
              <w:widowControl/>
              <w:autoSpaceDE w:val="0"/>
              <w:autoSpaceDN w:val="0"/>
              <w:spacing w:line="280" w:lineRule="exact"/>
              <w:jc w:val="left"/>
              <w:rPr>
                <w:rFonts w:ascii="Times New Roman" w:hAnsi="Times New Roman" w:eastAsia="仿宋_GB2312" w:cs="方正仿宋_GBK"/>
                <w:color w:val="auto"/>
                <w:szCs w:val="21"/>
              </w:rPr>
            </w:pPr>
          </w:p>
        </w:tc>
        <w:tc>
          <w:tcPr>
            <w:tcW w:w="1324" w:type="dxa"/>
            <w:vMerge w:val="continue"/>
            <w:vAlign w:val="center"/>
          </w:tcPr>
          <w:p w14:paraId="7F72E363">
            <w:pPr>
              <w:widowControl/>
              <w:autoSpaceDE w:val="0"/>
              <w:autoSpaceDN w:val="0"/>
              <w:spacing w:line="280" w:lineRule="exact"/>
              <w:jc w:val="left"/>
              <w:rPr>
                <w:rFonts w:ascii="Times New Roman" w:hAnsi="Times New Roman" w:eastAsia="仿宋_GB2312" w:cs="方正仿宋_GBK"/>
                <w:color w:val="auto"/>
                <w:szCs w:val="21"/>
              </w:rPr>
            </w:pPr>
          </w:p>
        </w:tc>
        <w:tc>
          <w:tcPr>
            <w:tcW w:w="794" w:type="dxa"/>
            <w:vMerge w:val="continue"/>
            <w:vAlign w:val="center"/>
          </w:tcPr>
          <w:p w14:paraId="2EA0D5A2">
            <w:pPr>
              <w:widowControl/>
              <w:autoSpaceDE w:val="0"/>
              <w:autoSpaceDN w:val="0"/>
              <w:spacing w:line="280" w:lineRule="exact"/>
              <w:jc w:val="left"/>
              <w:rPr>
                <w:rFonts w:ascii="Times New Roman" w:hAnsi="Times New Roman" w:eastAsia="仿宋_GB2312" w:cs="方正仿宋_GBK"/>
                <w:color w:val="auto"/>
                <w:szCs w:val="21"/>
              </w:rPr>
            </w:pPr>
          </w:p>
        </w:tc>
        <w:tc>
          <w:tcPr>
            <w:tcW w:w="872" w:type="dxa"/>
            <w:vMerge w:val="continue"/>
            <w:vAlign w:val="center"/>
          </w:tcPr>
          <w:p w14:paraId="19D2A2C7">
            <w:pPr>
              <w:widowControl/>
              <w:autoSpaceDE w:val="0"/>
              <w:autoSpaceDN w:val="0"/>
              <w:spacing w:line="280" w:lineRule="exact"/>
              <w:jc w:val="left"/>
              <w:rPr>
                <w:rFonts w:ascii="Times New Roman" w:hAnsi="Times New Roman" w:eastAsia="仿宋_GB2312" w:cs="方正仿宋_GBK"/>
                <w:color w:val="auto"/>
                <w:szCs w:val="21"/>
              </w:rPr>
            </w:pPr>
          </w:p>
        </w:tc>
        <w:tc>
          <w:tcPr>
            <w:tcW w:w="869" w:type="dxa"/>
            <w:vMerge w:val="continue"/>
            <w:vAlign w:val="center"/>
          </w:tcPr>
          <w:p w14:paraId="4E537F65">
            <w:pPr>
              <w:widowControl/>
              <w:autoSpaceDE w:val="0"/>
              <w:autoSpaceDN w:val="0"/>
              <w:spacing w:line="280" w:lineRule="exact"/>
              <w:jc w:val="left"/>
              <w:rPr>
                <w:rFonts w:ascii="Times New Roman" w:hAnsi="Times New Roman" w:eastAsia="仿宋_GB2312" w:cs="方正仿宋_GBK"/>
                <w:color w:val="auto"/>
                <w:szCs w:val="21"/>
              </w:rPr>
            </w:pPr>
          </w:p>
        </w:tc>
        <w:tc>
          <w:tcPr>
            <w:tcW w:w="4962" w:type="dxa"/>
            <w:vAlign w:val="center"/>
          </w:tcPr>
          <w:p w14:paraId="71DC9B98">
            <w:pPr>
              <w:widowControl/>
              <w:autoSpaceDE w:val="0"/>
              <w:autoSpaceDN w:val="0"/>
              <w:spacing w:line="250" w:lineRule="exact"/>
              <w:ind w:firstLine="0" w:firstLineChars="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【规章】《建设工程质量检测管理办法》</w:t>
            </w:r>
          </w:p>
          <w:p w14:paraId="788C67AA">
            <w:pPr>
              <w:widowControl/>
              <w:autoSpaceDE w:val="0"/>
              <w:autoSpaceDN w:val="0"/>
              <w:spacing w:line="25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第三十条　检测机构不得有下列行为：</w:t>
            </w:r>
          </w:p>
          <w:p w14:paraId="11CCA2AB">
            <w:pPr>
              <w:widowControl/>
              <w:autoSpaceDE w:val="0"/>
              <w:autoSpaceDN w:val="0"/>
              <w:spacing w:line="25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（六）出具虚假的检测数据或者检测报告。</w:t>
            </w:r>
          </w:p>
          <w:p w14:paraId="327D8A67">
            <w:pPr>
              <w:widowControl/>
              <w:autoSpaceDE w:val="0"/>
              <w:autoSpaceDN w:val="0"/>
              <w:spacing w:line="25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第四十三条　检测机构违反本办法第二十二条、第三十条第六项规定的，由县级以上地方人民政府住房和城乡建设主管部门责令改正，处5万元以上10万元以下罚款；造成危害后果的，处10万元以上20万元以下罚款；构成犯罪的，依法追究刑事责任。</w:t>
            </w:r>
          </w:p>
          <w:p w14:paraId="31833D8E">
            <w:pPr>
              <w:widowControl/>
              <w:autoSpaceDE w:val="0"/>
              <w:autoSpaceDN w:val="0"/>
              <w:spacing w:line="25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检测机构在建设工程抗震活动中有前款行为的，依照《建设工程抗震管理条例》有关规定给予处罚。</w:t>
            </w:r>
          </w:p>
          <w:p w14:paraId="49D81453">
            <w:pPr>
              <w:widowControl/>
              <w:autoSpaceDE w:val="0"/>
              <w:autoSpaceDN w:val="0"/>
              <w:spacing w:line="25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第四十六条　检测机构违反本办法规定，有违法所得的，由县级以上地方人民政府住房和城乡建设主管部门依法予以没收。</w:t>
            </w:r>
          </w:p>
          <w:p w14:paraId="2C771001">
            <w:pPr>
              <w:widowControl/>
              <w:autoSpaceDE w:val="0"/>
              <w:autoSpaceDN w:val="0"/>
              <w:spacing w:line="25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第四十八条　依照本办法规定，给予单位罚款处罚的，对单位直接负责的主管人员和其他直接责任人员处3万元以下罚款。</w:t>
            </w:r>
          </w:p>
        </w:tc>
        <w:tc>
          <w:tcPr>
            <w:tcW w:w="992" w:type="dxa"/>
            <w:vMerge w:val="continue"/>
            <w:vAlign w:val="center"/>
          </w:tcPr>
          <w:p w14:paraId="1DE1AAC6">
            <w:pPr>
              <w:widowControl/>
              <w:autoSpaceDE w:val="0"/>
              <w:autoSpaceDN w:val="0"/>
              <w:spacing w:line="280" w:lineRule="exact"/>
              <w:jc w:val="left"/>
              <w:rPr>
                <w:rFonts w:ascii="Times New Roman" w:hAnsi="Times New Roman" w:eastAsia="仿宋_GB2312" w:cs="方正仿宋_GBK"/>
                <w:color w:val="auto"/>
                <w:szCs w:val="21"/>
              </w:rPr>
            </w:pPr>
          </w:p>
        </w:tc>
        <w:tc>
          <w:tcPr>
            <w:tcW w:w="1139" w:type="dxa"/>
            <w:vMerge w:val="continue"/>
            <w:vAlign w:val="center"/>
          </w:tcPr>
          <w:p w14:paraId="11E6EE37">
            <w:pPr>
              <w:widowControl/>
              <w:autoSpaceDE w:val="0"/>
              <w:autoSpaceDN w:val="0"/>
              <w:spacing w:line="280" w:lineRule="exact"/>
              <w:jc w:val="left"/>
              <w:rPr>
                <w:rFonts w:ascii="Times New Roman" w:hAnsi="Times New Roman" w:eastAsia="仿宋_GB2312" w:cs="方正仿宋_GBK"/>
                <w:color w:val="auto"/>
                <w:szCs w:val="21"/>
              </w:rPr>
            </w:pPr>
          </w:p>
        </w:tc>
        <w:tc>
          <w:tcPr>
            <w:tcW w:w="1491" w:type="dxa"/>
            <w:vAlign w:val="center"/>
          </w:tcPr>
          <w:p w14:paraId="26B29CA7">
            <w:pPr>
              <w:widowControl/>
              <w:spacing w:line="280" w:lineRule="exact"/>
              <w:jc w:val="center"/>
              <w:textAlignment w:val="center"/>
              <w:rPr>
                <w:rFonts w:ascii="Times New Roman" w:hAnsi="Times New Roman" w:eastAsia="仿宋_GB2312" w:cs="方正仿宋_GBK"/>
                <w:color w:val="auto"/>
                <w:kern w:val="0"/>
                <w:szCs w:val="21"/>
                <w:lang w:bidi="ar"/>
              </w:rPr>
            </w:pPr>
            <w:r>
              <w:rPr>
                <w:rFonts w:hint="eastAsia" w:ascii="Times New Roman" w:hAnsi="Times New Roman" w:eastAsia="仿宋_GB2312" w:cs="方正仿宋_GBK"/>
                <w:color w:val="auto"/>
                <w:kern w:val="0"/>
                <w:szCs w:val="21"/>
                <w:lang w:bidi="ar"/>
              </w:rPr>
              <w:t>320217615000</w:t>
            </w:r>
          </w:p>
        </w:tc>
        <w:tc>
          <w:tcPr>
            <w:tcW w:w="1481" w:type="dxa"/>
            <w:vAlign w:val="center"/>
          </w:tcPr>
          <w:p w14:paraId="2FE8913F">
            <w:pPr>
              <w:widowControl/>
              <w:spacing w:line="280" w:lineRule="exact"/>
              <w:jc w:val="left"/>
              <w:textAlignment w:val="center"/>
              <w:rPr>
                <w:rFonts w:ascii="Times New Roman" w:hAnsi="Times New Roman" w:eastAsia="仿宋_GB2312" w:cs="方正仿宋_GBK"/>
                <w:color w:val="auto"/>
                <w:kern w:val="0"/>
                <w:szCs w:val="21"/>
                <w:lang w:bidi="ar"/>
              </w:rPr>
            </w:pPr>
            <w:r>
              <w:rPr>
                <w:rFonts w:hint="eastAsia" w:ascii="Times New Roman" w:hAnsi="Times New Roman" w:eastAsia="仿宋_GB2312" w:cs="方正仿宋_GBK"/>
                <w:color w:val="auto"/>
                <w:kern w:val="0"/>
                <w:szCs w:val="21"/>
                <w:lang w:bidi="ar"/>
              </w:rPr>
              <w:t>对检测机构出具虚假的检测数据或者检测报告的处罚</w:t>
            </w:r>
          </w:p>
        </w:tc>
        <w:tc>
          <w:tcPr>
            <w:tcW w:w="622" w:type="dxa"/>
            <w:vAlign w:val="center"/>
          </w:tcPr>
          <w:p w14:paraId="7B74F546">
            <w:pPr>
              <w:widowControl/>
              <w:autoSpaceDE w:val="0"/>
              <w:autoSpaceDN w:val="0"/>
              <w:spacing w:line="280" w:lineRule="exact"/>
              <w:jc w:val="left"/>
              <w:rPr>
                <w:rFonts w:ascii="Times New Roman" w:hAnsi="Times New Roman" w:eastAsia="仿宋_GB2312" w:cs="方正仿宋_GBK"/>
                <w:color w:val="auto"/>
                <w:szCs w:val="21"/>
              </w:rPr>
            </w:pPr>
          </w:p>
        </w:tc>
      </w:tr>
      <w:tr w14:paraId="0B32B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6" w:type="dxa"/>
            <w:vMerge w:val="restart"/>
            <w:vAlign w:val="center"/>
          </w:tcPr>
          <w:p w14:paraId="3D5AAF45">
            <w:pPr>
              <w:widowControl/>
              <w:autoSpaceDE w:val="0"/>
              <w:autoSpaceDN w:val="0"/>
              <w:spacing w:line="280" w:lineRule="exact"/>
              <w:jc w:val="left"/>
              <w:rPr>
                <w:rFonts w:hint="default" w:ascii="Times New Roman" w:hAnsi="Times New Roman" w:eastAsia="仿宋_GB2312" w:cs="方正仿宋_GBK"/>
                <w:color w:val="auto"/>
                <w:szCs w:val="21"/>
                <w:lang w:val="en-US" w:eastAsia="zh-CN"/>
              </w:rPr>
            </w:pPr>
            <w:r>
              <w:rPr>
                <w:rFonts w:hint="eastAsia" w:ascii="Times New Roman" w:hAnsi="Times New Roman" w:eastAsia="仿宋_GB2312" w:cs="方正仿宋_GBK"/>
                <w:color w:val="auto"/>
                <w:szCs w:val="21"/>
                <w:lang w:val="en-US" w:eastAsia="zh-CN"/>
              </w:rPr>
              <w:t>16</w:t>
            </w:r>
          </w:p>
        </w:tc>
        <w:tc>
          <w:tcPr>
            <w:tcW w:w="1324" w:type="dxa"/>
            <w:vMerge w:val="restart"/>
            <w:vAlign w:val="center"/>
          </w:tcPr>
          <w:p w14:paraId="040B08A9">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对工程质量检测机构的行政检查</w:t>
            </w:r>
          </w:p>
        </w:tc>
        <w:tc>
          <w:tcPr>
            <w:tcW w:w="794" w:type="dxa"/>
            <w:vMerge w:val="restart"/>
            <w:vAlign w:val="center"/>
          </w:tcPr>
          <w:p w14:paraId="21578BEE">
            <w:pPr>
              <w:widowControl/>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苏州市相城区住房和城乡建设局</w:t>
            </w:r>
          </w:p>
        </w:tc>
        <w:tc>
          <w:tcPr>
            <w:tcW w:w="872" w:type="dxa"/>
            <w:vMerge w:val="restart"/>
            <w:vAlign w:val="center"/>
          </w:tcPr>
          <w:p w14:paraId="4DF069C5">
            <w:pPr>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相城区建设工程质量安全监督中心</w:t>
            </w:r>
          </w:p>
        </w:tc>
        <w:tc>
          <w:tcPr>
            <w:tcW w:w="869" w:type="dxa"/>
            <w:vMerge w:val="restart"/>
            <w:vAlign w:val="center"/>
          </w:tcPr>
          <w:p w14:paraId="147AC677">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工程质量检测单位</w:t>
            </w:r>
          </w:p>
        </w:tc>
        <w:tc>
          <w:tcPr>
            <w:tcW w:w="4962" w:type="dxa"/>
            <w:vAlign w:val="center"/>
          </w:tcPr>
          <w:p w14:paraId="6CC062DF">
            <w:pPr>
              <w:widowControl/>
              <w:autoSpaceDE w:val="0"/>
              <w:autoSpaceDN w:val="0"/>
              <w:spacing w:line="300" w:lineRule="exact"/>
              <w:ind w:firstLine="0" w:firstLineChars="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【规章】《建设工程质量检测管理办法》（2022年12月29日中华人民共和国住房和城乡建设部令第57号公布　自2023年3月1日起施行）</w:t>
            </w:r>
          </w:p>
          <w:p w14:paraId="5C602F2D">
            <w:pPr>
              <w:widowControl/>
              <w:autoSpaceDE w:val="0"/>
              <w:autoSpaceDN w:val="0"/>
              <w:spacing w:line="30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第二十一条第一款　检测报告经检测人员、审核人员、检测机构法定代表人或者其授权的签字人等签署，并加盖检测专用章后方可生效。</w:t>
            </w:r>
          </w:p>
          <w:p w14:paraId="5560DB1B">
            <w:pPr>
              <w:widowControl/>
              <w:autoSpaceDE w:val="0"/>
              <w:autoSpaceDN w:val="0"/>
              <w:spacing w:line="30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第四十五条　检测机构违反本办法规定，有下列行为之一的，由县级以上地方人民政府住房和城乡建设主管部门责令改正，处1万元以上5万元以下罚款：</w:t>
            </w:r>
          </w:p>
          <w:p w14:paraId="4562EEE2">
            <w:pPr>
              <w:widowControl/>
              <w:autoSpaceDE w:val="0"/>
              <w:autoSpaceDN w:val="0"/>
              <w:spacing w:line="30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（三）未按照规定在检测报告上签字盖章的；</w:t>
            </w:r>
          </w:p>
          <w:p w14:paraId="01D14DC7">
            <w:pPr>
              <w:widowControl/>
              <w:autoSpaceDE w:val="0"/>
              <w:autoSpaceDN w:val="0"/>
              <w:spacing w:line="30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第四十六条　检测机构违反本办法规定，有违法所得的，由县级以上地方人民政府住房和城乡建设主管部门依法予以没收。</w:t>
            </w:r>
          </w:p>
          <w:p w14:paraId="4D9C9AAC">
            <w:pPr>
              <w:widowControl/>
              <w:autoSpaceDE w:val="0"/>
              <w:autoSpaceDN w:val="0"/>
              <w:spacing w:line="30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第四十八条　依照本办法规定，给予单位罚款处罚的，对单位直接负责的主管人员和其他直接责任人员处3万元以下罚款。</w:t>
            </w:r>
          </w:p>
        </w:tc>
        <w:tc>
          <w:tcPr>
            <w:tcW w:w="992" w:type="dxa"/>
            <w:vMerge w:val="restart"/>
            <w:vAlign w:val="center"/>
          </w:tcPr>
          <w:p w14:paraId="4427AF54">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现场检查、书面检查</w:t>
            </w:r>
          </w:p>
        </w:tc>
        <w:tc>
          <w:tcPr>
            <w:tcW w:w="1139" w:type="dxa"/>
            <w:vMerge w:val="restart"/>
            <w:vAlign w:val="center"/>
          </w:tcPr>
          <w:p w14:paraId="1DE60F36">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双随机+重点检查</w:t>
            </w:r>
          </w:p>
        </w:tc>
        <w:tc>
          <w:tcPr>
            <w:tcW w:w="1491" w:type="dxa"/>
            <w:vAlign w:val="center"/>
          </w:tcPr>
          <w:p w14:paraId="1EE6D2C8">
            <w:pPr>
              <w:widowControl/>
              <w:spacing w:line="280" w:lineRule="exact"/>
              <w:jc w:val="center"/>
              <w:textAlignment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kern w:val="0"/>
                <w:szCs w:val="21"/>
                <w:lang w:bidi="ar"/>
              </w:rPr>
              <w:t>320217532000</w:t>
            </w:r>
          </w:p>
        </w:tc>
        <w:tc>
          <w:tcPr>
            <w:tcW w:w="1481" w:type="dxa"/>
            <w:vAlign w:val="center"/>
          </w:tcPr>
          <w:p w14:paraId="36A79C3A">
            <w:pPr>
              <w:widowControl/>
              <w:spacing w:line="280" w:lineRule="exact"/>
              <w:jc w:val="left"/>
              <w:textAlignment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对检测机构未按照规定在检测报告上签字盖章的处罚</w:t>
            </w:r>
          </w:p>
        </w:tc>
        <w:tc>
          <w:tcPr>
            <w:tcW w:w="622" w:type="dxa"/>
            <w:vAlign w:val="center"/>
          </w:tcPr>
          <w:p w14:paraId="242626AA">
            <w:pPr>
              <w:widowControl/>
              <w:autoSpaceDE w:val="0"/>
              <w:autoSpaceDN w:val="0"/>
              <w:spacing w:line="280" w:lineRule="exact"/>
              <w:jc w:val="left"/>
              <w:rPr>
                <w:rFonts w:ascii="Times New Roman" w:hAnsi="Times New Roman" w:eastAsia="仿宋_GB2312" w:cs="方正仿宋_GBK"/>
                <w:color w:val="auto"/>
                <w:szCs w:val="21"/>
              </w:rPr>
            </w:pPr>
          </w:p>
        </w:tc>
      </w:tr>
      <w:tr w14:paraId="74EF4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6" w:type="dxa"/>
            <w:vMerge w:val="continue"/>
            <w:vAlign w:val="center"/>
          </w:tcPr>
          <w:p w14:paraId="1A1F3A82">
            <w:pPr>
              <w:widowControl/>
              <w:autoSpaceDE w:val="0"/>
              <w:autoSpaceDN w:val="0"/>
              <w:spacing w:line="280" w:lineRule="exact"/>
              <w:jc w:val="left"/>
              <w:rPr>
                <w:rFonts w:ascii="Times New Roman" w:hAnsi="Times New Roman" w:eastAsia="仿宋_GB2312" w:cs="方正仿宋_GBK"/>
                <w:color w:val="auto"/>
                <w:szCs w:val="21"/>
              </w:rPr>
            </w:pPr>
          </w:p>
        </w:tc>
        <w:tc>
          <w:tcPr>
            <w:tcW w:w="1324" w:type="dxa"/>
            <w:vMerge w:val="continue"/>
            <w:vAlign w:val="center"/>
          </w:tcPr>
          <w:p w14:paraId="2B8AD98D">
            <w:pPr>
              <w:widowControl/>
              <w:autoSpaceDE w:val="0"/>
              <w:autoSpaceDN w:val="0"/>
              <w:spacing w:line="280" w:lineRule="exact"/>
              <w:jc w:val="left"/>
              <w:rPr>
                <w:rFonts w:ascii="Times New Roman" w:hAnsi="Times New Roman" w:eastAsia="仿宋_GB2312" w:cs="方正仿宋_GBK"/>
                <w:color w:val="auto"/>
                <w:szCs w:val="21"/>
              </w:rPr>
            </w:pPr>
          </w:p>
        </w:tc>
        <w:tc>
          <w:tcPr>
            <w:tcW w:w="794" w:type="dxa"/>
            <w:vMerge w:val="continue"/>
            <w:vAlign w:val="center"/>
          </w:tcPr>
          <w:p w14:paraId="6562E8FC">
            <w:pPr>
              <w:widowControl/>
              <w:autoSpaceDE w:val="0"/>
              <w:autoSpaceDN w:val="0"/>
              <w:spacing w:line="280" w:lineRule="exact"/>
              <w:jc w:val="left"/>
              <w:rPr>
                <w:rFonts w:ascii="Times New Roman" w:hAnsi="Times New Roman" w:eastAsia="仿宋_GB2312" w:cs="方正仿宋_GBK"/>
                <w:color w:val="auto"/>
                <w:szCs w:val="21"/>
              </w:rPr>
            </w:pPr>
          </w:p>
        </w:tc>
        <w:tc>
          <w:tcPr>
            <w:tcW w:w="872" w:type="dxa"/>
            <w:vMerge w:val="continue"/>
            <w:vAlign w:val="center"/>
          </w:tcPr>
          <w:p w14:paraId="05D90714">
            <w:pPr>
              <w:widowControl/>
              <w:autoSpaceDE w:val="0"/>
              <w:autoSpaceDN w:val="0"/>
              <w:spacing w:line="280" w:lineRule="exact"/>
              <w:jc w:val="left"/>
              <w:rPr>
                <w:rFonts w:ascii="Times New Roman" w:hAnsi="Times New Roman" w:eastAsia="仿宋_GB2312" w:cs="方正仿宋_GBK"/>
                <w:color w:val="auto"/>
                <w:szCs w:val="21"/>
              </w:rPr>
            </w:pPr>
          </w:p>
        </w:tc>
        <w:tc>
          <w:tcPr>
            <w:tcW w:w="869" w:type="dxa"/>
            <w:vMerge w:val="continue"/>
            <w:vAlign w:val="center"/>
          </w:tcPr>
          <w:p w14:paraId="181AB431">
            <w:pPr>
              <w:widowControl/>
              <w:autoSpaceDE w:val="0"/>
              <w:autoSpaceDN w:val="0"/>
              <w:spacing w:line="280" w:lineRule="exact"/>
              <w:jc w:val="left"/>
              <w:rPr>
                <w:rFonts w:ascii="Times New Roman" w:hAnsi="Times New Roman" w:eastAsia="仿宋_GB2312" w:cs="方正仿宋_GBK"/>
                <w:color w:val="auto"/>
                <w:szCs w:val="21"/>
              </w:rPr>
            </w:pPr>
          </w:p>
        </w:tc>
        <w:tc>
          <w:tcPr>
            <w:tcW w:w="4962" w:type="dxa"/>
            <w:vAlign w:val="center"/>
          </w:tcPr>
          <w:p w14:paraId="29D74293">
            <w:pPr>
              <w:widowControl/>
              <w:autoSpaceDE w:val="0"/>
              <w:autoSpaceDN w:val="0"/>
              <w:spacing w:line="30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【规章】《江苏省房屋建筑和市政基础设施工程质量监督管理办法》</w:t>
            </w:r>
          </w:p>
          <w:p w14:paraId="700BFCFB">
            <w:pPr>
              <w:widowControl/>
              <w:autoSpaceDE w:val="0"/>
              <w:autoSpaceDN w:val="0"/>
              <w:spacing w:line="30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第二十一条  质量检测单位应当履行下列工程质量义务：</w:t>
            </w:r>
          </w:p>
          <w:p w14:paraId="78DAE16B">
            <w:pPr>
              <w:widowControl/>
              <w:autoSpaceDE w:val="0"/>
              <w:autoSpaceDN w:val="0"/>
              <w:spacing w:line="30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（三）按照规定出具检测报告，检测数据必须准确真实，不得弄虚作假。</w:t>
            </w:r>
          </w:p>
          <w:p w14:paraId="30573DDF">
            <w:pPr>
              <w:widowControl/>
              <w:autoSpaceDE w:val="0"/>
              <w:autoSpaceDN w:val="0"/>
              <w:spacing w:line="300" w:lineRule="exact"/>
              <w:ind w:firstLine="420" w:firstLineChars="200"/>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第二十七条第二款  违反本办法第二十一条第（三）项规定，质量检测单位未按照规定出具检测报告，或者检测数据弄虚作假的，由住房和城乡建设行政主管部门给予警告，并处3万元罚款。</w:t>
            </w:r>
          </w:p>
        </w:tc>
        <w:tc>
          <w:tcPr>
            <w:tcW w:w="992" w:type="dxa"/>
            <w:vMerge w:val="continue"/>
            <w:vAlign w:val="center"/>
          </w:tcPr>
          <w:p w14:paraId="725ED283">
            <w:pPr>
              <w:widowControl/>
              <w:autoSpaceDE w:val="0"/>
              <w:autoSpaceDN w:val="0"/>
              <w:spacing w:line="280" w:lineRule="exact"/>
              <w:jc w:val="left"/>
              <w:rPr>
                <w:rFonts w:ascii="Times New Roman" w:hAnsi="Times New Roman" w:eastAsia="仿宋_GB2312" w:cs="方正仿宋_GBK"/>
                <w:color w:val="auto"/>
                <w:szCs w:val="21"/>
              </w:rPr>
            </w:pPr>
          </w:p>
        </w:tc>
        <w:tc>
          <w:tcPr>
            <w:tcW w:w="1139" w:type="dxa"/>
            <w:vMerge w:val="continue"/>
            <w:vAlign w:val="center"/>
          </w:tcPr>
          <w:p w14:paraId="538E8EFC">
            <w:pPr>
              <w:widowControl/>
              <w:autoSpaceDE w:val="0"/>
              <w:autoSpaceDN w:val="0"/>
              <w:spacing w:line="280" w:lineRule="exact"/>
              <w:jc w:val="left"/>
              <w:rPr>
                <w:rFonts w:ascii="Times New Roman" w:hAnsi="Times New Roman" w:eastAsia="仿宋_GB2312" w:cs="方正仿宋_GBK"/>
                <w:color w:val="auto"/>
                <w:szCs w:val="21"/>
              </w:rPr>
            </w:pPr>
          </w:p>
        </w:tc>
        <w:tc>
          <w:tcPr>
            <w:tcW w:w="1491" w:type="dxa"/>
            <w:vAlign w:val="center"/>
          </w:tcPr>
          <w:p w14:paraId="562CE2C6">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320217431000</w:t>
            </w:r>
          </w:p>
        </w:tc>
        <w:tc>
          <w:tcPr>
            <w:tcW w:w="1481" w:type="dxa"/>
            <w:vAlign w:val="center"/>
          </w:tcPr>
          <w:p w14:paraId="3FF15ED0">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对质量检测单位未按照规定出具检测报告，或者检测数据弄虚作假的处罚</w:t>
            </w:r>
          </w:p>
        </w:tc>
        <w:tc>
          <w:tcPr>
            <w:tcW w:w="622" w:type="dxa"/>
            <w:vAlign w:val="center"/>
          </w:tcPr>
          <w:p w14:paraId="574F9359">
            <w:pPr>
              <w:widowControl/>
              <w:autoSpaceDE w:val="0"/>
              <w:autoSpaceDN w:val="0"/>
              <w:spacing w:line="280" w:lineRule="exact"/>
              <w:jc w:val="left"/>
              <w:rPr>
                <w:rFonts w:ascii="Times New Roman" w:hAnsi="Times New Roman" w:eastAsia="仿宋_GB2312" w:cs="方正仿宋_GBK"/>
                <w:color w:val="auto"/>
                <w:szCs w:val="21"/>
              </w:rPr>
            </w:pPr>
          </w:p>
        </w:tc>
      </w:tr>
      <w:tr w14:paraId="7144F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8" w:hRule="atLeast"/>
          <w:jc w:val="center"/>
        </w:trPr>
        <w:tc>
          <w:tcPr>
            <w:tcW w:w="536" w:type="dxa"/>
            <w:vMerge w:val="restart"/>
            <w:vAlign w:val="center"/>
          </w:tcPr>
          <w:p w14:paraId="2280988E">
            <w:pPr>
              <w:widowControl/>
              <w:autoSpaceDE w:val="0"/>
              <w:autoSpaceDN w:val="0"/>
              <w:spacing w:line="280" w:lineRule="exact"/>
              <w:jc w:val="left"/>
              <w:rPr>
                <w:rFonts w:hint="default" w:ascii="Times New Roman" w:hAnsi="Times New Roman" w:eastAsia="仿宋_GB2312" w:cs="方正仿宋_GBK"/>
                <w:color w:val="auto"/>
                <w:szCs w:val="21"/>
                <w:lang w:val="en-US" w:eastAsia="zh-CN"/>
              </w:rPr>
            </w:pPr>
            <w:r>
              <w:rPr>
                <w:rFonts w:hint="eastAsia" w:ascii="Times New Roman" w:hAnsi="Times New Roman" w:eastAsia="仿宋_GB2312" w:cs="方正仿宋_GBK"/>
                <w:color w:val="auto"/>
                <w:szCs w:val="21"/>
                <w:lang w:val="en-US" w:eastAsia="zh-CN"/>
              </w:rPr>
              <w:t>16</w:t>
            </w:r>
          </w:p>
        </w:tc>
        <w:tc>
          <w:tcPr>
            <w:tcW w:w="1324" w:type="dxa"/>
            <w:vMerge w:val="restart"/>
            <w:vAlign w:val="center"/>
          </w:tcPr>
          <w:p w14:paraId="292D4964">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对工程质量检测机构的行政检查</w:t>
            </w:r>
          </w:p>
        </w:tc>
        <w:tc>
          <w:tcPr>
            <w:tcW w:w="794" w:type="dxa"/>
            <w:vMerge w:val="restart"/>
            <w:vAlign w:val="center"/>
          </w:tcPr>
          <w:p w14:paraId="10437908">
            <w:pPr>
              <w:widowControl/>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苏州市相城区住房和城乡建设局</w:t>
            </w:r>
          </w:p>
        </w:tc>
        <w:tc>
          <w:tcPr>
            <w:tcW w:w="872" w:type="dxa"/>
            <w:vMerge w:val="restart"/>
            <w:vAlign w:val="center"/>
          </w:tcPr>
          <w:p w14:paraId="7CFBBC49">
            <w:pPr>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相城区建设工程质量安全监督中心</w:t>
            </w:r>
          </w:p>
        </w:tc>
        <w:tc>
          <w:tcPr>
            <w:tcW w:w="869" w:type="dxa"/>
            <w:vMerge w:val="restart"/>
            <w:vAlign w:val="center"/>
          </w:tcPr>
          <w:p w14:paraId="3B2E29EF">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工程质量检测单位</w:t>
            </w:r>
          </w:p>
        </w:tc>
        <w:tc>
          <w:tcPr>
            <w:tcW w:w="4962" w:type="dxa"/>
            <w:vAlign w:val="center"/>
          </w:tcPr>
          <w:p w14:paraId="0230C7E0">
            <w:pPr>
              <w:keepNext w:val="0"/>
              <w:keepLines w:val="0"/>
              <w:pageBreakBefore w:val="0"/>
              <w:widowControl/>
              <w:kinsoku/>
              <w:wordWrap/>
              <w:overflowPunct/>
              <w:topLinePunct w:val="0"/>
              <w:autoSpaceDE w:val="0"/>
              <w:autoSpaceDN w:val="0"/>
              <w:bidi w:val="0"/>
              <w:adjustRightInd/>
              <w:snapToGrid/>
              <w:spacing w:line="340" w:lineRule="exact"/>
              <w:jc w:val="left"/>
              <w:textAlignment w:val="auto"/>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【规章】《江苏省房屋建筑和市政基础设施工程质量监督管理办法》</w:t>
            </w:r>
          </w:p>
          <w:p w14:paraId="7F0BF979">
            <w:pPr>
              <w:keepNext w:val="0"/>
              <w:keepLines w:val="0"/>
              <w:pageBreakBefore w:val="0"/>
              <w:widowControl/>
              <w:kinsoku/>
              <w:wordWrap/>
              <w:overflowPunct/>
              <w:topLinePunct w:val="0"/>
              <w:autoSpaceDE w:val="0"/>
              <w:autoSpaceDN w:val="0"/>
              <w:bidi w:val="0"/>
              <w:adjustRightInd/>
              <w:snapToGrid/>
              <w:spacing w:line="340" w:lineRule="exact"/>
              <w:ind w:firstLine="420" w:firstLineChars="200"/>
              <w:jc w:val="left"/>
              <w:textAlignment w:val="auto"/>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第二十一条  质量检测单位应当履行下列工程质量义务：</w:t>
            </w:r>
          </w:p>
          <w:p w14:paraId="081D8BA3">
            <w:pPr>
              <w:keepNext w:val="0"/>
              <w:keepLines w:val="0"/>
              <w:pageBreakBefore w:val="0"/>
              <w:widowControl/>
              <w:kinsoku/>
              <w:wordWrap/>
              <w:overflowPunct/>
              <w:topLinePunct w:val="0"/>
              <w:autoSpaceDE w:val="0"/>
              <w:autoSpaceDN w:val="0"/>
              <w:bidi w:val="0"/>
              <w:adjustRightInd/>
              <w:snapToGrid/>
              <w:spacing w:line="340" w:lineRule="exact"/>
              <w:ind w:firstLine="420" w:firstLineChars="200"/>
              <w:jc w:val="left"/>
              <w:textAlignment w:val="auto"/>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（四）不合格检测报告，应当在24小时内报送当地工程质量监督机构。</w:t>
            </w:r>
          </w:p>
          <w:p w14:paraId="5FEA4CBC">
            <w:pPr>
              <w:keepNext w:val="0"/>
              <w:keepLines w:val="0"/>
              <w:pageBreakBefore w:val="0"/>
              <w:widowControl/>
              <w:kinsoku/>
              <w:wordWrap/>
              <w:overflowPunct/>
              <w:topLinePunct w:val="0"/>
              <w:autoSpaceDE w:val="0"/>
              <w:autoSpaceDN w:val="0"/>
              <w:bidi w:val="0"/>
              <w:adjustRightInd/>
              <w:snapToGrid/>
              <w:spacing w:line="340" w:lineRule="exact"/>
              <w:ind w:firstLine="420" w:firstLineChars="200"/>
              <w:jc w:val="left"/>
              <w:textAlignment w:val="auto"/>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第二十七条第一款  违反本办法第二十一条规定，质量检测单位有下列行为之一的，由住房和城乡建设行政主管部门责令改正，并可处1万元以上3万元以下罚款：</w:t>
            </w:r>
          </w:p>
          <w:p w14:paraId="0F22D60F">
            <w:pPr>
              <w:keepNext w:val="0"/>
              <w:keepLines w:val="0"/>
              <w:pageBreakBefore w:val="0"/>
              <w:widowControl/>
              <w:kinsoku/>
              <w:wordWrap/>
              <w:overflowPunct/>
              <w:topLinePunct w:val="0"/>
              <w:autoSpaceDE w:val="0"/>
              <w:autoSpaceDN w:val="0"/>
              <w:bidi w:val="0"/>
              <w:adjustRightInd/>
              <w:snapToGrid/>
              <w:spacing w:line="340" w:lineRule="exact"/>
              <w:ind w:firstLine="420" w:firstLineChars="200"/>
              <w:jc w:val="left"/>
              <w:textAlignment w:val="auto"/>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（三）不合格检测报告未在24小时内报送当地工程质量监督机构的。</w:t>
            </w:r>
          </w:p>
        </w:tc>
        <w:tc>
          <w:tcPr>
            <w:tcW w:w="992" w:type="dxa"/>
            <w:vMerge w:val="restart"/>
            <w:vAlign w:val="center"/>
          </w:tcPr>
          <w:p w14:paraId="18634881">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现场检查、书面检查</w:t>
            </w:r>
          </w:p>
        </w:tc>
        <w:tc>
          <w:tcPr>
            <w:tcW w:w="1139" w:type="dxa"/>
            <w:vMerge w:val="restart"/>
            <w:vAlign w:val="center"/>
          </w:tcPr>
          <w:p w14:paraId="16BD9F4C">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双随机+重点检查</w:t>
            </w:r>
          </w:p>
        </w:tc>
        <w:tc>
          <w:tcPr>
            <w:tcW w:w="1491" w:type="dxa"/>
            <w:vAlign w:val="center"/>
          </w:tcPr>
          <w:p w14:paraId="7069653F">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320217430000</w:t>
            </w:r>
          </w:p>
        </w:tc>
        <w:tc>
          <w:tcPr>
            <w:tcW w:w="1481" w:type="dxa"/>
            <w:vAlign w:val="center"/>
          </w:tcPr>
          <w:p w14:paraId="769D83CF">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对质量检测单位未将不合格检测报告在24小时内报送当地工程质量监督机构的处罚</w:t>
            </w:r>
          </w:p>
        </w:tc>
        <w:tc>
          <w:tcPr>
            <w:tcW w:w="622" w:type="dxa"/>
            <w:vAlign w:val="center"/>
          </w:tcPr>
          <w:p w14:paraId="78AD3ACB">
            <w:pPr>
              <w:widowControl/>
              <w:autoSpaceDE w:val="0"/>
              <w:autoSpaceDN w:val="0"/>
              <w:spacing w:line="280" w:lineRule="exact"/>
              <w:jc w:val="left"/>
              <w:rPr>
                <w:rFonts w:ascii="Times New Roman" w:hAnsi="Times New Roman" w:eastAsia="仿宋_GB2312" w:cs="方正仿宋_GBK"/>
                <w:color w:val="auto"/>
                <w:szCs w:val="21"/>
              </w:rPr>
            </w:pPr>
          </w:p>
        </w:tc>
      </w:tr>
      <w:tr w14:paraId="3C827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6" w:type="dxa"/>
            <w:vMerge w:val="continue"/>
            <w:vAlign w:val="center"/>
          </w:tcPr>
          <w:p w14:paraId="32035DA8">
            <w:pPr>
              <w:widowControl/>
              <w:autoSpaceDE w:val="0"/>
              <w:autoSpaceDN w:val="0"/>
              <w:spacing w:line="280" w:lineRule="exact"/>
              <w:jc w:val="left"/>
              <w:rPr>
                <w:rFonts w:hint="default" w:ascii="Times New Roman" w:hAnsi="Times New Roman" w:eastAsia="仿宋_GB2312" w:cs="方正仿宋_GBK"/>
                <w:color w:val="auto"/>
                <w:szCs w:val="21"/>
                <w:lang w:val="en-US" w:eastAsia="zh-CN"/>
              </w:rPr>
            </w:pPr>
          </w:p>
        </w:tc>
        <w:tc>
          <w:tcPr>
            <w:tcW w:w="1324" w:type="dxa"/>
            <w:vMerge w:val="continue"/>
            <w:vAlign w:val="center"/>
          </w:tcPr>
          <w:p w14:paraId="47970273">
            <w:pPr>
              <w:widowControl/>
              <w:autoSpaceDE w:val="0"/>
              <w:autoSpaceDN w:val="0"/>
              <w:spacing w:line="280" w:lineRule="exact"/>
              <w:jc w:val="left"/>
              <w:rPr>
                <w:rFonts w:ascii="Times New Roman" w:hAnsi="Times New Roman" w:eastAsia="仿宋_GB2312" w:cs="方正仿宋_GBK"/>
                <w:color w:val="auto"/>
                <w:szCs w:val="21"/>
              </w:rPr>
            </w:pPr>
          </w:p>
        </w:tc>
        <w:tc>
          <w:tcPr>
            <w:tcW w:w="794" w:type="dxa"/>
            <w:vMerge w:val="continue"/>
            <w:vAlign w:val="center"/>
          </w:tcPr>
          <w:p w14:paraId="1586AC6D">
            <w:pPr>
              <w:widowControl/>
              <w:autoSpaceDE w:val="0"/>
              <w:autoSpaceDN w:val="0"/>
              <w:spacing w:line="280" w:lineRule="exact"/>
              <w:jc w:val="center"/>
              <w:rPr>
                <w:rFonts w:ascii="Times New Roman" w:hAnsi="Times New Roman" w:eastAsia="仿宋_GB2312" w:cs="方正仿宋_GBK"/>
                <w:color w:val="auto"/>
                <w:szCs w:val="21"/>
              </w:rPr>
            </w:pPr>
          </w:p>
        </w:tc>
        <w:tc>
          <w:tcPr>
            <w:tcW w:w="872" w:type="dxa"/>
            <w:vMerge w:val="continue"/>
            <w:vAlign w:val="center"/>
          </w:tcPr>
          <w:p w14:paraId="06C2271E">
            <w:pPr>
              <w:autoSpaceDE w:val="0"/>
              <w:autoSpaceDN w:val="0"/>
              <w:spacing w:line="280" w:lineRule="exact"/>
              <w:jc w:val="left"/>
              <w:rPr>
                <w:rFonts w:ascii="Times New Roman" w:hAnsi="Times New Roman" w:eastAsia="仿宋_GB2312" w:cs="方正仿宋_GBK"/>
                <w:color w:val="auto"/>
                <w:szCs w:val="21"/>
              </w:rPr>
            </w:pPr>
          </w:p>
        </w:tc>
        <w:tc>
          <w:tcPr>
            <w:tcW w:w="869" w:type="dxa"/>
            <w:vMerge w:val="continue"/>
            <w:vAlign w:val="center"/>
          </w:tcPr>
          <w:p w14:paraId="101A56F4">
            <w:pPr>
              <w:widowControl/>
              <w:autoSpaceDE w:val="0"/>
              <w:autoSpaceDN w:val="0"/>
              <w:spacing w:line="280" w:lineRule="exact"/>
              <w:jc w:val="left"/>
              <w:rPr>
                <w:rFonts w:ascii="Times New Roman" w:hAnsi="Times New Roman" w:eastAsia="仿宋_GB2312" w:cs="方正仿宋_GBK"/>
                <w:color w:val="auto"/>
                <w:szCs w:val="21"/>
              </w:rPr>
            </w:pPr>
          </w:p>
        </w:tc>
        <w:tc>
          <w:tcPr>
            <w:tcW w:w="4962" w:type="dxa"/>
            <w:vAlign w:val="center"/>
          </w:tcPr>
          <w:p w14:paraId="18072DD5">
            <w:pPr>
              <w:keepNext w:val="0"/>
              <w:keepLines w:val="0"/>
              <w:pageBreakBefore w:val="0"/>
              <w:widowControl/>
              <w:kinsoku/>
              <w:wordWrap/>
              <w:overflowPunct/>
              <w:topLinePunct w:val="0"/>
              <w:autoSpaceDE w:val="0"/>
              <w:autoSpaceDN w:val="0"/>
              <w:bidi w:val="0"/>
              <w:adjustRightInd/>
              <w:snapToGrid/>
              <w:spacing w:line="340" w:lineRule="exact"/>
              <w:jc w:val="left"/>
              <w:textAlignment w:val="auto"/>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【规章】《江苏省房屋建筑和市政基础设施工程质量监督管理办法》</w:t>
            </w:r>
          </w:p>
          <w:p w14:paraId="450D9632">
            <w:pPr>
              <w:keepNext w:val="0"/>
              <w:keepLines w:val="0"/>
              <w:pageBreakBefore w:val="0"/>
              <w:widowControl/>
              <w:kinsoku/>
              <w:wordWrap/>
              <w:overflowPunct/>
              <w:topLinePunct w:val="0"/>
              <w:autoSpaceDE w:val="0"/>
              <w:autoSpaceDN w:val="0"/>
              <w:bidi w:val="0"/>
              <w:adjustRightInd/>
              <w:snapToGrid/>
              <w:spacing w:line="340" w:lineRule="exact"/>
              <w:ind w:firstLine="420" w:firstLineChars="200"/>
              <w:jc w:val="left"/>
              <w:textAlignment w:val="auto"/>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第二十一条  质量检测单位应当履行下列工程质量义务：</w:t>
            </w:r>
          </w:p>
          <w:p w14:paraId="34D049F7">
            <w:pPr>
              <w:keepNext w:val="0"/>
              <w:keepLines w:val="0"/>
              <w:pageBreakBefore w:val="0"/>
              <w:widowControl/>
              <w:kinsoku/>
              <w:wordWrap/>
              <w:overflowPunct/>
              <w:topLinePunct w:val="0"/>
              <w:autoSpaceDE w:val="0"/>
              <w:autoSpaceDN w:val="0"/>
              <w:bidi w:val="0"/>
              <w:adjustRightInd/>
              <w:snapToGrid/>
              <w:spacing w:line="340" w:lineRule="exact"/>
              <w:ind w:firstLine="420" w:firstLineChars="200"/>
              <w:jc w:val="left"/>
              <w:textAlignment w:val="auto"/>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（二）按照有关工程建设标准和规范进行检测，检测数据应当按照规定实时上传。</w:t>
            </w:r>
          </w:p>
          <w:p w14:paraId="564D771A">
            <w:pPr>
              <w:keepNext w:val="0"/>
              <w:keepLines w:val="0"/>
              <w:pageBreakBefore w:val="0"/>
              <w:widowControl/>
              <w:kinsoku/>
              <w:wordWrap/>
              <w:overflowPunct/>
              <w:topLinePunct w:val="0"/>
              <w:autoSpaceDE w:val="0"/>
              <w:autoSpaceDN w:val="0"/>
              <w:bidi w:val="0"/>
              <w:adjustRightInd/>
              <w:snapToGrid/>
              <w:spacing w:line="340" w:lineRule="exact"/>
              <w:ind w:firstLine="420" w:firstLineChars="200"/>
              <w:jc w:val="left"/>
              <w:textAlignment w:val="auto"/>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第二十七条第一款  违反本办法第二十一条规定，质量检测单位有下列行为之一的，由住房和城乡建设行政主管部门责令改正，并可处1万元以上3万元以下罚款：</w:t>
            </w:r>
          </w:p>
          <w:p w14:paraId="5CF1324C">
            <w:pPr>
              <w:keepNext w:val="0"/>
              <w:keepLines w:val="0"/>
              <w:pageBreakBefore w:val="0"/>
              <w:widowControl/>
              <w:kinsoku/>
              <w:wordWrap/>
              <w:overflowPunct/>
              <w:topLinePunct w:val="0"/>
              <w:autoSpaceDE w:val="0"/>
              <w:autoSpaceDN w:val="0"/>
              <w:bidi w:val="0"/>
              <w:adjustRightInd/>
              <w:snapToGrid/>
              <w:spacing w:line="340" w:lineRule="exact"/>
              <w:ind w:firstLine="420" w:firstLineChars="200"/>
              <w:jc w:val="left"/>
              <w:textAlignment w:val="auto"/>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（二）未按照有关工程建设标准和规范进行检测，或者检测数据未按照规定实时上传的。</w:t>
            </w:r>
          </w:p>
        </w:tc>
        <w:tc>
          <w:tcPr>
            <w:tcW w:w="992" w:type="dxa"/>
            <w:vMerge w:val="continue"/>
            <w:vAlign w:val="center"/>
          </w:tcPr>
          <w:p w14:paraId="1798D5A4">
            <w:pPr>
              <w:widowControl/>
              <w:autoSpaceDE w:val="0"/>
              <w:autoSpaceDN w:val="0"/>
              <w:spacing w:line="280" w:lineRule="exact"/>
              <w:jc w:val="left"/>
              <w:rPr>
                <w:rFonts w:ascii="Times New Roman" w:hAnsi="Times New Roman" w:eastAsia="仿宋_GB2312" w:cs="方正仿宋_GBK"/>
                <w:color w:val="auto"/>
                <w:szCs w:val="21"/>
              </w:rPr>
            </w:pPr>
          </w:p>
        </w:tc>
        <w:tc>
          <w:tcPr>
            <w:tcW w:w="1139" w:type="dxa"/>
            <w:vMerge w:val="continue"/>
            <w:vAlign w:val="center"/>
          </w:tcPr>
          <w:p w14:paraId="6D34538A">
            <w:pPr>
              <w:widowControl/>
              <w:autoSpaceDE w:val="0"/>
              <w:autoSpaceDN w:val="0"/>
              <w:spacing w:line="280" w:lineRule="exact"/>
              <w:jc w:val="left"/>
              <w:rPr>
                <w:rFonts w:ascii="Times New Roman" w:hAnsi="Times New Roman" w:eastAsia="仿宋_GB2312" w:cs="方正仿宋_GBK"/>
                <w:color w:val="auto"/>
                <w:szCs w:val="21"/>
              </w:rPr>
            </w:pPr>
          </w:p>
        </w:tc>
        <w:tc>
          <w:tcPr>
            <w:tcW w:w="1491" w:type="dxa"/>
            <w:vAlign w:val="center"/>
          </w:tcPr>
          <w:p w14:paraId="2CB3DBA1">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320217429000</w:t>
            </w:r>
          </w:p>
        </w:tc>
        <w:tc>
          <w:tcPr>
            <w:tcW w:w="1481" w:type="dxa"/>
            <w:vAlign w:val="center"/>
          </w:tcPr>
          <w:p w14:paraId="582B5628">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对质量检测单位未按照有关工程建设标准和规范进行检测，或者检测数据未按照规定实时上传的处罚</w:t>
            </w:r>
          </w:p>
        </w:tc>
        <w:tc>
          <w:tcPr>
            <w:tcW w:w="622" w:type="dxa"/>
            <w:vAlign w:val="center"/>
          </w:tcPr>
          <w:p w14:paraId="4B46DAFE">
            <w:pPr>
              <w:widowControl/>
              <w:autoSpaceDE w:val="0"/>
              <w:autoSpaceDN w:val="0"/>
              <w:spacing w:line="280" w:lineRule="exact"/>
              <w:jc w:val="left"/>
              <w:rPr>
                <w:rFonts w:ascii="Times New Roman" w:hAnsi="Times New Roman" w:eastAsia="仿宋_GB2312" w:cs="方正仿宋_GBK"/>
                <w:color w:val="auto"/>
                <w:szCs w:val="21"/>
              </w:rPr>
            </w:pPr>
          </w:p>
        </w:tc>
      </w:tr>
      <w:tr w14:paraId="78B9E2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6" w:type="dxa"/>
            <w:vMerge w:val="restart"/>
            <w:vAlign w:val="center"/>
          </w:tcPr>
          <w:p w14:paraId="76A4D9A9">
            <w:pPr>
              <w:widowControl/>
              <w:autoSpaceDE w:val="0"/>
              <w:autoSpaceDN w:val="0"/>
              <w:spacing w:line="280" w:lineRule="exact"/>
              <w:jc w:val="left"/>
              <w:rPr>
                <w:rFonts w:hint="default" w:ascii="Times New Roman" w:hAnsi="Times New Roman" w:eastAsia="仿宋_GB2312" w:cs="方正仿宋_GBK"/>
                <w:color w:val="auto"/>
                <w:szCs w:val="21"/>
                <w:lang w:val="en-US" w:eastAsia="zh-CN"/>
              </w:rPr>
            </w:pPr>
            <w:r>
              <w:rPr>
                <w:rFonts w:hint="eastAsia" w:ascii="Times New Roman" w:hAnsi="Times New Roman" w:eastAsia="仿宋_GB2312" w:cs="方正仿宋_GBK"/>
                <w:color w:val="auto"/>
                <w:szCs w:val="21"/>
                <w:lang w:val="en-US" w:eastAsia="zh-CN"/>
              </w:rPr>
              <w:t>17</w:t>
            </w:r>
          </w:p>
        </w:tc>
        <w:tc>
          <w:tcPr>
            <w:tcW w:w="1324" w:type="dxa"/>
            <w:vMerge w:val="restart"/>
            <w:vAlign w:val="center"/>
          </w:tcPr>
          <w:p w14:paraId="09EB93EA">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对建设工程档案的行政检查</w:t>
            </w:r>
          </w:p>
        </w:tc>
        <w:tc>
          <w:tcPr>
            <w:tcW w:w="794" w:type="dxa"/>
            <w:vMerge w:val="restart"/>
            <w:vAlign w:val="center"/>
          </w:tcPr>
          <w:p w14:paraId="51DCA1F6">
            <w:pPr>
              <w:widowControl/>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苏州市相城区住房和城乡建设局</w:t>
            </w:r>
          </w:p>
        </w:tc>
        <w:tc>
          <w:tcPr>
            <w:tcW w:w="872" w:type="dxa"/>
            <w:vMerge w:val="restart"/>
            <w:vAlign w:val="center"/>
          </w:tcPr>
          <w:p w14:paraId="7CA00C1B">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相城区建设工程质量安全监督中心</w:t>
            </w:r>
          </w:p>
        </w:tc>
        <w:tc>
          <w:tcPr>
            <w:tcW w:w="869" w:type="dxa"/>
            <w:vMerge w:val="restart"/>
            <w:vAlign w:val="center"/>
          </w:tcPr>
          <w:p w14:paraId="5D54017E">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工程项目建设单位</w:t>
            </w:r>
          </w:p>
        </w:tc>
        <w:tc>
          <w:tcPr>
            <w:tcW w:w="4962" w:type="dxa"/>
            <w:vMerge w:val="restart"/>
            <w:vAlign w:val="center"/>
          </w:tcPr>
          <w:p w14:paraId="571E635C">
            <w:pPr>
              <w:keepNext w:val="0"/>
              <w:keepLines w:val="0"/>
              <w:pageBreakBefore w:val="0"/>
              <w:widowControl/>
              <w:kinsoku/>
              <w:wordWrap/>
              <w:overflowPunct/>
              <w:topLinePunct w:val="0"/>
              <w:autoSpaceDE w:val="0"/>
              <w:autoSpaceDN w:val="0"/>
              <w:bidi w:val="0"/>
              <w:adjustRightInd/>
              <w:snapToGrid/>
              <w:spacing w:line="320" w:lineRule="exact"/>
              <w:jc w:val="left"/>
              <w:textAlignment w:val="auto"/>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【行政法规】《建设工程质量管理条例》</w:t>
            </w:r>
          </w:p>
          <w:p w14:paraId="2CAED8D0">
            <w:pPr>
              <w:keepNext w:val="0"/>
              <w:keepLines w:val="0"/>
              <w:pageBreakBefore w:val="0"/>
              <w:widowControl/>
              <w:kinsoku/>
              <w:wordWrap/>
              <w:overflowPunct/>
              <w:topLinePunct w:val="0"/>
              <w:autoSpaceDE w:val="0"/>
              <w:autoSpaceDN w:val="0"/>
              <w:bidi w:val="0"/>
              <w:adjustRightInd/>
              <w:snapToGrid/>
              <w:spacing w:line="320" w:lineRule="exact"/>
              <w:ind w:firstLine="420" w:firstLineChars="200"/>
              <w:jc w:val="left"/>
              <w:textAlignment w:val="auto"/>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第十七条　建设单位应当严格按照国家有关档案管理的规定，及时收集、整理建设项目各环节的文件资料，建立、健全建设项目档案，并在建设工程竣工验收后，及时向建设行政主管部门或者其他有关部门移交建设项目档案。</w:t>
            </w:r>
          </w:p>
          <w:p w14:paraId="0EB331C4">
            <w:pPr>
              <w:keepNext w:val="0"/>
              <w:keepLines w:val="0"/>
              <w:pageBreakBefore w:val="0"/>
              <w:widowControl/>
              <w:kinsoku/>
              <w:wordWrap/>
              <w:overflowPunct/>
              <w:topLinePunct w:val="0"/>
              <w:autoSpaceDE w:val="0"/>
              <w:autoSpaceDN w:val="0"/>
              <w:bidi w:val="0"/>
              <w:adjustRightInd/>
              <w:snapToGrid/>
              <w:spacing w:line="320" w:lineRule="exact"/>
              <w:ind w:firstLine="420" w:firstLineChars="200"/>
              <w:jc w:val="left"/>
              <w:textAlignment w:val="auto"/>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第五十九条　违反本条例规定，建设工程竣工验收后，建设单位未向建设行政主管部门或者其他有关部门移交建设项目档案的，责令改正，处1万元以上10万元以下的罚款。</w:t>
            </w:r>
          </w:p>
          <w:p w14:paraId="0F5FE539">
            <w:pPr>
              <w:keepNext w:val="0"/>
              <w:keepLines w:val="0"/>
              <w:pageBreakBefore w:val="0"/>
              <w:widowControl/>
              <w:kinsoku/>
              <w:wordWrap/>
              <w:overflowPunct/>
              <w:topLinePunct w:val="0"/>
              <w:autoSpaceDE w:val="0"/>
              <w:autoSpaceDN w:val="0"/>
              <w:bidi w:val="0"/>
              <w:adjustRightInd/>
              <w:snapToGrid/>
              <w:spacing w:line="320" w:lineRule="exact"/>
              <w:ind w:firstLine="420" w:firstLineChars="200"/>
              <w:jc w:val="left"/>
              <w:textAlignment w:val="auto"/>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第七十三条  依照本条例规定，给予单位罚款处罚的，对单位直接负责的主管人员和其他直接责任人员处单位罚款数额5％以上10％以下的罚款。</w:t>
            </w:r>
          </w:p>
          <w:p w14:paraId="7203A5C8">
            <w:pPr>
              <w:keepNext w:val="0"/>
              <w:keepLines w:val="0"/>
              <w:pageBreakBefore w:val="0"/>
              <w:widowControl/>
              <w:kinsoku/>
              <w:wordWrap/>
              <w:overflowPunct/>
              <w:topLinePunct w:val="0"/>
              <w:autoSpaceDE w:val="0"/>
              <w:autoSpaceDN w:val="0"/>
              <w:bidi w:val="0"/>
              <w:adjustRightInd/>
              <w:snapToGrid/>
              <w:spacing w:line="320" w:lineRule="exact"/>
              <w:ind w:firstLine="420" w:firstLineChars="200"/>
              <w:jc w:val="left"/>
              <w:textAlignment w:val="auto"/>
              <w:rPr>
                <w:rFonts w:hint="eastAsia"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第七十五条第一款  本条例规定的责令停业整顿、降低资质等级和吊销资质证书的行政处罚，由颁发资质证书的机关决定；其他行政处罚，由建设行政主管部门或者其他有关部门依照法定职权决定。</w:t>
            </w:r>
          </w:p>
          <w:p w14:paraId="4FC5DAC3">
            <w:pPr>
              <w:keepNext w:val="0"/>
              <w:keepLines w:val="0"/>
              <w:pageBreakBefore w:val="0"/>
              <w:widowControl/>
              <w:kinsoku/>
              <w:wordWrap/>
              <w:overflowPunct/>
              <w:topLinePunct w:val="0"/>
              <w:autoSpaceDE w:val="0"/>
              <w:autoSpaceDN w:val="0"/>
              <w:bidi w:val="0"/>
              <w:adjustRightInd/>
              <w:snapToGrid/>
              <w:spacing w:line="320" w:lineRule="exact"/>
              <w:jc w:val="left"/>
              <w:textAlignment w:val="auto"/>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【地方性法规】《江苏省档案管理条例》</w:t>
            </w:r>
          </w:p>
          <w:p w14:paraId="70C51B17">
            <w:pPr>
              <w:keepNext w:val="0"/>
              <w:keepLines w:val="0"/>
              <w:pageBreakBefore w:val="0"/>
              <w:widowControl/>
              <w:kinsoku/>
              <w:wordWrap/>
              <w:overflowPunct/>
              <w:topLinePunct w:val="0"/>
              <w:autoSpaceDE w:val="0"/>
              <w:autoSpaceDN w:val="0"/>
              <w:bidi w:val="0"/>
              <w:adjustRightInd/>
              <w:snapToGrid/>
              <w:spacing w:line="320" w:lineRule="exact"/>
              <w:ind w:firstLine="420" w:firstLineChars="200"/>
              <w:jc w:val="left"/>
              <w:textAlignment w:val="auto"/>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第十四条第二款  城市规划区域内工程项目的建设单位，应当向所在地城市建设档案机构登记并接受其档案检查和验收，按照有关规定及时向城市建设档案机构报送工程建设档案。</w:t>
            </w:r>
          </w:p>
          <w:p w14:paraId="5D0A37EB">
            <w:pPr>
              <w:keepNext w:val="0"/>
              <w:keepLines w:val="0"/>
              <w:pageBreakBefore w:val="0"/>
              <w:widowControl/>
              <w:kinsoku/>
              <w:wordWrap/>
              <w:overflowPunct/>
              <w:topLinePunct w:val="0"/>
              <w:autoSpaceDE w:val="0"/>
              <w:autoSpaceDN w:val="0"/>
              <w:bidi w:val="0"/>
              <w:adjustRightInd/>
              <w:snapToGrid/>
              <w:spacing w:line="320" w:lineRule="exact"/>
              <w:jc w:val="left"/>
              <w:textAlignment w:val="auto"/>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【地方性法规】《江苏省城建档案管理办法》（征求意见稿）</w:t>
            </w:r>
          </w:p>
          <w:p w14:paraId="3C3D021A">
            <w:pPr>
              <w:keepNext w:val="0"/>
              <w:keepLines w:val="0"/>
              <w:pageBreakBefore w:val="0"/>
              <w:widowControl/>
              <w:kinsoku/>
              <w:wordWrap/>
              <w:overflowPunct/>
              <w:topLinePunct w:val="0"/>
              <w:autoSpaceDE w:val="0"/>
              <w:autoSpaceDN w:val="0"/>
              <w:bidi w:val="0"/>
              <w:adjustRightInd/>
              <w:snapToGrid/>
              <w:spacing w:line="320" w:lineRule="exact"/>
              <w:ind w:firstLine="420" w:firstLineChars="200"/>
              <w:jc w:val="left"/>
              <w:textAlignment w:val="auto"/>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第十一条  各类建设工程开工前，建设单位应当通过政务服务平台向当地城建档案管理机构进行档案登记，实行建设工程档案责任制。</w:t>
            </w:r>
            <w:r>
              <w:rPr>
                <w:rFonts w:hint="eastAsia" w:ascii="Times New Roman" w:hAnsi="Times New Roman" w:eastAsia="仿宋_GB2312" w:cs="方正仿宋_GBK"/>
                <w:color w:val="auto"/>
                <w:szCs w:val="21"/>
              </w:rPr>
              <w:cr/>
            </w:r>
            <w:r>
              <w:rPr>
                <w:rFonts w:hint="eastAsia" w:ascii="Times New Roman" w:hAnsi="Times New Roman" w:eastAsia="仿宋_GB2312" w:cs="方正仿宋_GBK"/>
                <w:color w:val="auto"/>
                <w:szCs w:val="21"/>
              </w:rPr>
              <w:t>【规章】《城市建设档案管理规定》</w:t>
            </w:r>
          </w:p>
          <w:p w14:paraId="73F57856">
            <w:pPr>
              <w:keepNext w:val="0"/>
              <w:keepLines w:val="0"/>
              <w:pageBreakBefore w:val="0"/>
              <w:widowControl/>
              <w:kinsoku/>
              <w:wordWrap/>
              <w:overflowPunct/>
              <w:topLinePunct w:val="0"/>
              <w:autoSpaceDE w:val="0"/>
              <w:autoSpaceDN w:val="0"/>
              <w:bidi w:val="0"/>
              <w:adjustRightInd/>
              <w:snapToGrid/>
              <w:spacing w:line="320" w:lineRule="exact"/>
              <w:ind w:firstLine="420" w:firstLineChars="200"/>
              <w:jc w:val="left"/>
              <w:textAlignment w:val="auto"/>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第八条  列入城建档案馆档案接收范围的工程，城建档案管理机构按照建设工程竣工联合验收的规定对工程档案进行验收。</w:t>
            </w:r>
            <w:r>
              <w:rPr>
                <w:rFonts w:hint="eastAsia" w:ascii="Times New Roman" w:hAnsi="Times New Roman" w:eastAsia="仿宋_GB2312" w:cs="方正仿宋_GBK"/>
                <w:color w:val="auto"/>
                <w:szCs w:val="21"/>
              </w:rPr>
              <w:cr/>
            </w:r>
            <w:r>
              <w:rPr>
                <w:rFonts w:hint="eastAsia" w:ascii="Times New Roman" w:hAnsi="Times New Roman" w:eastAsia="仿宋_GB2312" w:cs="方正仿宋_GBK"/>
                <w:color w:val="auto"/>
                <w:szCs w:val="21"/>
              </w:rPr>
              <w:t>【政府规章】《苏州市城市建设档案管理办法》</w:t>
            </w:r>
          </w:p>
          <w:p w14:paraId="12CEBA9A">
            <w:pPr>
              <w:keepNext w:val="0"/>
              <w:keepLines w:val="0"/>
              <w:pageBreakBefore w:val="0"/>
              <w:widowControl/>
              <w:kinsoku/>
              <w:wordWrap/>
              <w:overflowPunct/>
              <w:topLinePunct w:val="0"/>
              <w:autoSpaceDE w:val="0"/>
              <w:autoSpaceDN w:val="0"/>
              <w:bidi w:val="0"/>
              <w:adjustRightInd/>
              <w:snapToGrid/>
              <w:spacing w:line="320" w:lineRule="exact"/>
              <w:ind w:firstLine="420" w:firstLineChars="200"/>
              <w:jc w:val="left"/>
              <w:textAlignment w:val="auto"/>
              <w:rPr>
                <w:rFonts w:hint="eastAsia"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第六条  苏州市城市建设档案馆是城建档案管理的专门机构，具体负责本行政区域内城建档案的日常管理工作；各县级市城建档案馆负责本辖区城建档案的日常管理工作，并接受上级业务管理机构的业务指导。</w:t>
            </w:r>
          </w:p>
          <w:p w14:paraId="08F129F4">
            <w:pPr>
              <w:keepNext w:val="0"/>
              <w:keepLines w:val="0"/>
              <w:pageBreakBefore w:val="0"/>
              <w:widowControl/>
              <w:kinsoku/>
              <w:wordWrap/>
              <w:overflowPunct/>
              <w:topLinePunct w:val="0"/>
              <w:autoSpaceDE w:val="0"/>
              <w:autoSpaceDN w:val="0"/>
              <w:bidi w:val="0"/>
              <w:adjustRightInd/>
              <w:snapToGrid/>
              <w:spacing w:line="320" w:lineRule="exact"/>
              <w:ind w:firstLine="420" w:firstLineChars="200"/>
              <w:jc w:val="left"/>
              <w:textAlignment w:val="auto"/>
              <w:rPr>
                <w:rFonts w:hint="eastAsia"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第二十条  建设工程档案实行登记制度。建设单位在领取建设工程规划许可证的同时，向城建档案管理机构办理登记手续，签订建设工程档案报送责任书。</w:t>
            </w:r>
          </w:p>
          <w:p w14:paraId="0849EAB2">
            <w:pPr>
              <w:keepNext w:val="0"/>
              <w:keepLines w:val="0"/>
              <w:pageBreakBefore w:val="0"/>
              <w:widowControl/>
              <w:kinsoku/>
              <w:wordWrap/>
              <w:overflowPunct/>
              <w:topLinePunct w:val="0"/>
              <w:autoSpaceDE w:val="0"/>
              <w:autoSpaceDN w:val="0"/>
              <w:bidi w:val="0"/>
              <w:adjustRightInd/>
              <w:snapToGrid/>
              <w:spacing w:line="320" w:lineRule="exact"/>
              <w:ind w:firstLine="420" w:firstLineChars="200"/>
              <w:jc w:val="left"/>
              <w:textAlignment w:val="auto"/>
              <w:rPr>
                <w:rFonts w:hint="eastAsia"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第二十四条  凡建设单位报送的建设工程档案资料符合要求的，由城建档案管理机构出具《建设工程档案接收证明书》，并加盖城建档案接收专用章。</w:t>
            </w:r>
          </w:p>
          <w:p w14:paraId="10E152B2">
            <w:pPr>
              <w:keepNext w:val="0"/>
              <w:keepLines w:val="0"/>
              <w:pageBreakBefore w:val="0"/>
              <w:widowControl/>
              <w:kinsoku/>
              <w:wordWrap/>
              <w:overflowPunct/>
              <w:topLinePunct w:val="0"/>
              <w:autoSpaceDE w:val="0"/>
              <w:autoSpaceDN w:val="0"/>
              <w:bidi w:val="0"/>
              <w:adjustRightInd/>
              <w:snapToGrid/>
              <w:spacing w:line="320" w:lineRule="exact"/>
              <w:ind w:firstLine="420" w:firstLineChars="200"/>
              <w:jc w:val="left"/>
              <w:textAlignment w:val="auto"/>
              <w:rPr>
                <w:rFonts w:ascii="Times New Roman" w:hAnsi="Times New Roman" w:eastAsia="仿宋_GB2312"/>
                <w:color w:val="auto"/>
                <w:szCs w:val="21"/>
              </w:rPr>
            </w:pPr>
            <w:r>
              <w:rPr>
                <w:rFonts w:hint="eastAsia" w:ascii="Times New Roman" w:hAnsi="Times New Roman" w:eastAsia="仿宋_GB2312" w:cs="方正仿宋_GBK"/>
                <w:color w:val="auto"/>
                <w:szCs w:val="21"/>
              </w:rPr>
              <w:t>第三十八条  违反本办法有下列行为之一的，由市、县级市人民政府建设行政主管部门责令改正、予以警告，并可处以1万元以下罚款：（三）竣工档案资料不完整或档案人员未签署验收意见，而通过工程竣工验收的。</w:t>
            </w:r>
          </w:p>
        </w:tc>
        <w:tc>
          <w:tcPr>
            <w:tcW w:w="992" w:type="dxa"/>
            <w:vMerge w:val="restart"/>
            <w:vAlign w:val="center"/>
          </w:tcPr>
          <w:p w14:paraId="16B3C991">
            <w:pPr>
              <w:widowControl/>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现场检查和线上检查相结合</w:t>
            </w:r>
          </w:p>
        </w:tc>
        <w:tc>
          <w:tcPr>
            <w:tcW w:w="1139" w:type="dxa"/>
            <w:vMerge w:val="restart"/>
            <w:vAlign w:val="center"/>
          </w:tcPr>
          <w:p w14:paraId="69104F9A">
            <w:pPr>
              <w:widowControl/>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7-12月</w:t>
            </w:r>
          </w:p>
        </w:tc>
        <w:tc>
          <w:tcPr>
            <w:tcW w:w="1491" w:type="dxa"/>
            <w:vAlign w:val="center"/>
          </w:tcPr>
          <w:p w14:paraId="5D576498">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320217167000</w:t>
            </w:r>
          </w:p>
          <w:p w14:paraId="03191990">
            <w:pPr>
              <w:widowControl/>
              <w:autoSpaceDE w:val="0"/>
              <w:autoSpaceDN w:val="0"/>
              <w:spacing w:line="280" w:lineRule="exact"/>
              <w:jc w:val="left"/>
              <w:rPr>
                <w:rFonts w:ascii="Times New Roman" w:hAnsi="Times New Roman" w:eastAsia="仿宋_GB2312" w:cs="方正仿宋_GBK"/>
                <w:color w:val="auto"/>
                <w:szCs w:val="21"/>
              </w:rPr>
            </w:pPr>
          </w:p>
        </w:tc>
        <w:tc>
          <w:tcPr>
            <w:tcW w:w="1481" w:type="dxa"/>
            <w:vAlign w:val="center"/>
          </w:tcPr>
          <w:p w14:paraId="7F797B77">
            <w:pPr>
              <w:widowControl/>
              <w:autoSpaceDE w:val="0"/>
              <w:autoSpaceDN w:val="0"/>
              <w:spacing w:line="30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对建设单位未向建设行政主管部门移交建设项目档案的处罚</w:t>
            </w:r>
          </w:p>
        </w:tc>
        <w:tc>
          <w:tcPr>
            <w:tcW w:w="622" w:type="dxa"/>
            <w:vAlign w:val="center"/>
          </w:tcPr>
          <w:p w14:paraId="0066CCCB">
            <w:pPr>
              <w:spacing w:line="280" w:lineRule="exact"/>
              <w:rPr>
                <w:rFonts w:ascii="Times New Roman" w:hAnsi="Times New Roman" w:eastAsia="仿宋_GB2312" w:cs="方正仿宋_GBK"/>
                <w:color w:val="auto"/>
                <w:kern w:val="0"/>
                <w:szCs w:val="21"/>
              </w:rPr>
            </w:pPr>
          </w:p>
        </w:tc>
      </w:tr>
      <w:tr w14:paraId="7260FA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36" w:type="dxa"/>
            <w:vMerge w:val="continue"/>
            <w:vAlign w:val="center"/>
          </w:tcPr>
          <w:p w14:paraId="367C10AF">
            <w:pPr>
              <w:widowControl/>
              <w:autoSpaceDE w:val="0"/>
              <w:autoSpaceDN w:val="0"/>
              <w:spacing w:line="280" w:lineRule="exact"/>
              <w:jc w:val="left"/>
              <w:rPr>
                <w:rFonts w:ascii="Times New Roman" w:hAnsi="Times New Roman" w:eastAsia="仿宋_GB2312" w:cs="方正仿宋_GBK"/>
                <w:color w:val="auto"/>
                <w:szCs w:val="21"/>
              </w:rPr>
            </w:pPr>
          </w:p>
        </w:tc>
        <w:tc>
          <w:tcPr>
            <w:tcW w:w="1324" w:type="dxa"/>
            <w:vMerge w:val="continue"/>
            <w:vAlign w:val="center"/>
          </w:tcPr>
          <w:p w14:paraId="313D58B5">
            <w:pPr>
              <w:widowControl/>
              <w:autoSpaceDE w:val="0"/>
              <w:autoSpaceDN w:val="0"/>
              <w:spacing w:line="280" w:lineRule="exact"/>
              <w:jc w:val="left"/>
              <w:rPr>
                <w:rFonts w:ascii="Times New Roman" w:hAnsi="Times New Roman" w:eastAsia="仿宋_GB2312" w:cs="方正仿宋_GBK"/>
                <w:color w:val="auto"/>
                <w:szCs w:val="21"/>
              </w:rPr>
            </w:pPr>
          </w:p>
        </w:tc>
        <w:tc>
          <w:tcPr>
            <w:tcW w:w="794" w:type="dxa"/>
            <w:vMerge w:val="continue"/>
            <w:vAlign w:val="center"/>
          </w:tcPr>
          <w:p w14:paraId="08BF4BD2">
            <w:pPr>
              <w:widowControl/>
              <w:autoSpaceDE w:val="0"/>
              <w:autoSpaceDN w:val="0"/>
              <w:spacing w:line="280" w:lineRule="exact"/>
              <w:jc w:val="left"/>
              <w:rPr>
                <w:rFonts w:ascii="Times New Roman" w:hAnsi="Times New Roman" w:eastAsia="仿宋_GB2312" w:cs="方正仿宋_GBK"/>
                <w:color w:val="auto"/>
                <w:szCs w:val="21"/>
              </w:rPr>
            </w:pPr>
          </w:p>
        </w:tc>
        <w:tc>
          <w:tcPr>
            <w:tcW w:w="872" w:type="dxa"/>
            <w:vMerge w:val="continue"/>
            <w:vAlign w:val="center"/>
          </w:tcPr>
          <w:p w14:paraId="758A0DD9">
            <w:pPr>
              <w:widowControl/>
              <w:autoSpaceDE w:val="0"/>
              <w:autoSpaceDN w:val="0"/>
              <w:spacing w:line="280" w:lineRule="exact"/>
              <w:jc w:val="left"/>
              <w:rPr>
                <w:rFonts w:ascii="Times New Roman" w:hAnsi="Times New Roman" w:eastAsia="仿宋_GB2312" w:cs="方正仿宋_GBK"/>
                <w:color w:val="auto"/>
                <w:szCs w:val="21"/>
              </w:rPr>
            </w:pPr>
          </w:p>
        </w:tc>
        <w:tc>
          <w:tcPr>
            <w:tcW w:w="869" w:type="dxa"/>
            <w:vMerge w:val="continue"/>
            <w:vAlign w:val="center"/>
          </w:tcPr>
          <w:p w14:paraId="7B7A57DB">
            <w:pPr>
              <w:widowControl/>
              <w:autoSpaceDE w:val="0"/>
              <w:autoSpaceDN w:val="0"/>
              <w:spacing w:line="280" w:lineRule="exact"/>
              <w:jc w:val="left"/>
              <w:rPr>
                <w:rFonts w:ascii="Times New Roman" w:hAnsi="Times New Roman" w:eastAsia="仿宋_GB2312" w:cs="方正仿宋_GBK"/>
                <w:color w:val="auto"/>
                <w:szCs w:val="21"/>
              </w:rPr>
            </w:pPr>
          </w:p>
        </w:tc>
        <w:tc>
          <w:tcPr>
            <w:tcW w:w="4962" w:type="dxa"/>
            <w:vMerge w:val="continue"/>
            <w:vAlign w:val="center"/>
          </w:tcPr>
          <w:p w14:paraId="50DC5135">
            <w:pPr>
              <w:widowControl/>
              <w:autoSpaceDE w:val="0"/>
              <w:autoSpaceDN w:val="0"/>
              <w:spacing w:line="280" w:lineRule="exact"/>
              <w:jc w:val="left"/>
              <w:rPr>
                <w:rFonts w:ascii="Times New Roman" w:hAnsi="Times New Roman" w:eastAsia="仿宋_GB2312" w:cs="方正仿宋_GBK"/>
                <w:color w:val="auto"/>
                <w:szCs w:val="21"/>
              </w:rPr>
            </w:pPr>
          </w:p>
        </w:tc>
        <w:tc>
          <w:tcPr>
            <w:tcW w:w="992" w:type="dxa"/>
            <w:vMerge w:val="continue"/>
            <w:vAlign w:val="center"/>
          </w:tcPr>
          <w:p w14:paraId="53310D1B">
            <w:pPr>
              <w:widowControl/>
              <w:autoSpaceDE w:val="0"/>
              <w:autoSpaceDN w:val="0"/>
              <w:spacing w:line="280" w:lineRule="exact"/>
              <w:jc w:val="left"/>
              <w:rPr>
                <w:rFonts w:ascii="Times New Roman" w:hAnsi="Times New Roman" w:eastAsia="仿宋_GB2312" w:cs="方正仿宋_GBK"/>
                <w:color w:val="auto"/>
                <w:szCs w:val="21"/>
              </w:rPr>
            </w:pPr>
          </w:p>
        </w:tc>
        <w:tc>
          <w:tcPr>
            <w:tcW w:w="1139" w:type="dxa"/>
            <w:vMerge w:val="continue"/>
            <w:vAlign w:val="center"/>
          </w:tcPr>
          <w:p w14:paraId="559ADDCE">
            <w:pPr>
              <w:widowControl/>
              <w:autoSpaceDE w:val="0"/>
              <w:autoSpaceDN w:val="0"/>
              <w:spacing w:line="280" w:lineRule="exact"/>
              <w:jc w:val="left"/>
              <w:rPr>
                <w:rFonts w:ascii="Times New Roman" w:hAnsi="Times New Roman" w:eastAsia="仿宋_GB2312" w:cs="方正仿宋_GBK"/>
                <w:color w:val="auto"/>
                <w:szCs w:val="21"/>
              </w:rPr>
            </w:pPr>
          </w:p>
        </w:tc>
        <w:tc>
          <w:tcPr>
            <w:tcW w:w="1491" w:type="dxa"/>
            <w:vAlign w:val="center"/>
          </w:tcPr>
          <w:p w14:paraId="4D9FC741">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321017059000</w:t>
            </w:r>
          </w:p>
        </w:tc>
        <w:tc>
          <w:tcPr>
            <w:tcW w:w="1481" w:type="dxa"/>
            <w:vAlign w:val="center"/>
          </w:tcPr>
          <w:p w14:paraId="2FACD76F">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建设工程档案验收</w:t>
            </w:r>
          </w:p>
        </w:tc>
        <w:tc>
          <w:tcPr>
            <w:tcW w:w="622" w:type="dxa"/>
            <w:vAlign w:val="center"/>
          </w:tcPr>
          <w:p w14:paraId="5B4F4894">
            <w:pPr>
              <w:spacing w:line="280" w:lineRule="exact"/>
              <w:rPr>
                <w:rFonts w:ascii="Times New Roman" w:hAnsi="Times New Roman" w:eastAsia="仿宋_GB2312" w:cs="方正仿宋_GBK"/>
                <w:color w:val="auto"/>
                <w:kern w:val="0"/>
                <w:szCs w:val="21"/>
              </w:rPr>
            </w:pPr>
          </w:p>
        </w:tc>
      </w:tr>
      <w:tr w14:paraId="4CF8B7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6" w:type="dxa"/>
            <w:vMerge w:val="continue"/>
            <w:vAlign w:val="center"/>
          </w:tcPr>
          <w:p w14:paraId="0B31A95B">
            <w:pPr>
              <w:widowControl/>
              <w:autoSpaceDE w:val="0"/>
              <w:autoSpaceDN w:val="0"/>
              <w:spacing w:line="280" w:lineRule="exact"/>
              <w:jc w:val="left"/>
              <w:rPr>
                <w:rFonts w:ascii="Times New Roman" w:hAnsi="Times New Roman" w:eastAsia="仿宋_GB2312" w:cs="方正仿宋_GBK"/>
                <w:color w:val="auto"/>
                <w:szCs w:val="21"/>
              </w:rPr>
            </w:pPr>
          </w:p>
        </w:tc>
        <w:tc>
          <w:tcPr>
            <w:tcW w:w="1324" w:type="dxa"/>
            <w:vMerge w:val="continue"/>
            <w:vAlign w:val="center"/>
          </w:tcPr>
          <w:p w14:paraId="57E9192B">
            <w:pPr>
              <w:widowControl/>
              <w:autoSpaceDE w:val="0"/>
              <w:autoSpaceDN w:val="0"/>
              <w:spacing w:line="280" w:lineRule="exact"/>
              <w:jc w:val="left"/>
              <w:rPr>
                <w:rFonts w:ascii="Times New Roman" w:hAnsi="Times New Roman" w:eastAsia="仿宋_GB2312" w:cs="方正仿宋_GBK"/>
                <w:color w:val="auto"/>
                <w:szCs w:val="21"/>
              </w:rPr>
            </w:pPr>
          </w:p>
        </w:tc>
        <w:tc>
          <w:tcPr>
            <w:tcW w:w="794" w:type="dxa"/>
            <w:vMerge w:val="continue"/>
            <w:vAlign w:val="center"/>
          </w:tcPr>
          <w:p w14:paraId="566E4D32">
            <w:pPr>
              <w:widowControl/>
              <w:autoSpaceDE w:val="0"/>
              <w:autoSpaceDN w:val="0"/>
              <w:spacing w:line="280" w:lineRule="exact"/>
              <w:jc w:val="left"/>
              <w:rPr>
                <w:rFonts w:ascii="Times New Roman" w:hAnsi="Times New Roman" w:eastAsia="仿宋_GB2312" w:cs="方正仿宋_GBK"/>
                <w:color w:val="auto"/>
                <w:szCs w:val="21"/>
              </w:rPr>
            </w:pPr>
          </w:p>
        </w:tc>
        <w:tc>
          <w:tcPr>
            <w:tcW w:w="872" w:type="dxa"/>
            <w:vMerge w:val="continue"/>
            <w:vAlign w:val="center"/>
          </w:tcPr>
          <w:p w14:paraId="2DB73255">
            <w:pPr>
              <w:widowControl/>
              <w:autoSpaceDE w:val="0"/>
              <w:autoSpaceDN w:val="0"/>
              <w:spacing w:line="280" w:lineRule="exact"/>
              <w:jc w:val="left"/>
              <w:rPr>
                <w:rFonts w:ascii="Times New Roman" w:hAnsi="Times New Roman" w:eastAsia="仿宋_GB2312" w:cs="方正仿宋_GBK"/>
                <w:color w:val="auto"/>
                <w:szCs w:val="21"/>
              </w:rPr>
            </w:pPr>
          </w:p>
        </w:tc>
        <w:tc>
          <w:tcPr>
            <w:tcW w:w="869" w:type="dxa"/>
            <w:vMerge w:val="continue"/>
            <w:vAlign w:val="center"/>
          </w:tcPr>
          <w:p w14:paraId="7FC58BE8">
            <w:pPr>
              <w:widowControl/>
              <w:autoSpaceDE w:val="0"/>
              <w:autoSpaceDN w:val="0"/>
              <w:spacing w:line="280" w:lineRule="exact"/>
              <w:jc w:val="left"/>
              <w:rPr>
                <w:rFonts w:ascii="Times New Roman" w:hAnsi="Times New Roman" w:eastAsia="仿宋_GB2312" w:cs="方正仿宋_GBK"/>
                <w:color w:val="auto"/>
                <w:szCs w:val="21"/>
              </w:rPr>
            </w:pPr>
          </w:p>
        </w:tc>
        <w:tc>
          <w:tcPr>
            <w:tcW w:w="4962" w:type="dxa"/>
            <w:vMerge w:val="continue"/>
            <w:vAlign w:val="center"/>
          </w:tcPr>
          <w:p w14:paraId="27A5119D">
            <w:pPr>
              <w:widowControl/>
              <w:autoSpaceDE w:val="0"/>
              <w:autoSpaceDN w:val="0"/>
              <w:spacing w:line="280" w:lineRule="exact"/>
              <w:jc w:val="left"/>
              <w:rPr>
                <w:rFonts w:ascii="Times New Roman" w:hAnsi="Times New Roman" w:eastAsia="仿宋_GB2312" w:cs="方正仿宋_GBK"/>
                <w:color w:val="auto"/>
                <w:szCs w:val="21"/>
              </w:rPr>
            </w:pPr>
          </w:p>
        </w:tc>
        <w:tc>
          <w:tcPr>
            <w:tcW w:w="992" w:type="dxa"/>
            <w:vMerge w:val="continue"/>
            <w:vAlign w:val="center"/>
          </w:tcPr>
          <w:p w14:paraId="75545AB7">
            <w:pPr>
              <w:widowControl/>
              <w:autoSpaceDE w:val="0"/>
              <w:autoSpaceDN w:val="0"/>
              <w:spacing w:line="280" w:lineRule="exact"/>
              <w:jc w:val="left"/>
              <w:rPr>
                <w:rFonts w:ascii="Times New Roman" w:hAnsi="Times New Roman" w:eastAsia="仿宋_GB2312" w:cs="方正仿宋_GBK"/>
                <w:color w:val="auto"/>
                <w:szCs w:val="21"/>
              </w:rPr>
            </w:pPr>
          </w:p>
        </w:tc>
        <w:tc>
          <w:tcPr>
            <w:tcW w:w="1139" w:type="dxa"/>
            <w:vMerge w:val="continue"/>
            <w:vAlign w:val="center"/>
          </w:tcPr>
          <w:p w14:paraId="25835327">
            <w:pPr>
              <w:widowControl/>
              <w:autoSpaceDE w:val="0"/>
              <w:autoSpaceDN w:val="0"/>
              <w:spacing w:line="280" w:lineRule="exact"/>
              <w:jc w:val="left"/>
              <w:rPr>
                <w:rFonts w:ascii="Times New Roman" w:hAnsi="Times New Roman" w:eastAsia="仿宋_GB2312" w:cs="方正仿宋_GBK"/>
                <w:color w:val="auto"/>
                <w:szCs w:val="21"/>
              </w:rPr>
            </w:pPr>
          </w:p>
        </w:tc>
        <w:tc>
          <w:tcPr>
            <w:tcW w:w="1491" w:type="dxa"/>
            <w:vAlign w:val="center"/>
          </w:tcPr>
          <w:p w14:paraId="59D6C104">
            <w:pPr>
              <w:widowControl/>
              <w:autoSpaceDE w:val="0"/>
              <w:autoSpaceDN w:val="0"/>
              <w:spacing w:line="280" w:lineRule="exact"/>
              <w:jc w:val="left"/>
              <w:rPr>
                <w:rFonts w:ascii="Times New Roman" w:hAnsi="Times New Roman" w:eastAsia="仿宋_GB2312" w:cs="方正仿宋_GBK"/>
                <w:color w:val="auto"/>
                <w:sz w:val="20"/>
                <w:szCs w:val="21"/>
              </w:rPr>
            </w:pPr>
            <w:r>
              <w:rPr>
                <w:rFonts w:hint="eastAsia" w:ascii="Times New Roman" w:hAnsi="Times New Roman" w:eastAsia="仿宋_GB2312" w:cs="方正仿宋_GBK"/>
                <w:color w:val="auto"/>
                <w:sz w:val="20"/>
                <w:szCs w:val="21"/>
              </w:rPr>
              <w:t>3210SZ005000</w:t>
            </w:r>
          </w:p>
        </w:tc>
        <w:tc>
          <w:tcPr>
            <w:tcW w:w="1481" w:type="dxa"/>
            <w:vAlign w:val="center"/>
          </w:tcPr>
          <w:p w14:paraId="64B7A44C">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建设工程档案登记、接收</w:t>
            </w:r>
          </w:p>
        </w:tc>
        <w:tc>
          <w:tcPr>
            <w:tcW w:w="622" w:type="dxa"/>
            <w:vAlign w:val="center"/>
          </w:tcPr>
          <w:p w14:paraId="7003C676">
            <w:pPr>
              <w:spacing w:line="280" w:lineRule="exact"/>
              <w:rPr>
                <w:rFonts w:ascii="Times New Roman" w:hAnsi="Times New Roman" w:eastAsia="仿宋_GB2312" w:cs="方正仿宋_GBK"/>
                <w:color w:val="auto"/>
                <w:kern w:val="0"/>
                <w:szCs w:val="21"/>
              </w:rPr>
            </w:pPr>
          </w:p>
        </w:tc>
      </w:tr>
      <w:tr w14:paraId="60770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10" w:hRule="atLeast"/>
          <w:jc w:val="center"/>
        </w:trPr>
        <w:tc>
          <w:tcPr>
            <w:tcW w:w="536" w:type="dxa"/>
            <w:vMerge w:val="continue"/>
            <w:vAlign w:val="center"/>
          </w:tcPr>
          <w:p w14:paraId="4F7933C7">
            <w:pPr>
              <w:widowControl/>
              <w:autoSpaceDE w:val="0"/>
              <w:autoSpaceDN w:val="0"/>
              <w:spacing w:line="280" w:lineRule="exact"/>
              <w:jc w:val="left"/>
              <w:rPr>
                <w:rFonts w:ascii="Times New Roman" w:hAnsi="Times New Roman" w:eastAsia="仿宋_GB2312" w:cs="方正仿宋_GBK"/>
                <w:color w:val="auto"/>
                <w:szCs w:val="21"/>
              </w:rPr>
            </w:pPr>
          </w:p>
        </w:tc>
        <w:tc>
          <w:tcPr>
            <w:tcW w:w="1324" w:type="dxa"/>
            <w:vMerge w:val="continue"/>
            <w:vAlign w:val="center"/>
          </w:tcPr>
          <w:p w14:paraId="15EB2A09">
            <w:pPr>
              <w:widowControl/>
              <w:autoSpaceDE w:val="0"/>
              <w:autoSpaceDN w:val="0"/>
              <w:spacing w:line="280" w:lineRule="exact"/>
              <w:jc w:val="left"/>
              <w:rPr>
                <w:rFonts w:ascii="Times New Roman" w:hAnsi="Times New Roman" w:eastAsia="仿宋_GB2312" w:cs="方正仿宋_GBK"/>
                <w:color w:val="auto"/>
                <w:szCs w:val="21"/>
              </w:rPr>
            </w:pPr>
          </w:p>
        </w:tc>
        <w:tc>
          <w:tcPr>
            <w:tcW w:w="794" w:type="dxa"/>
            <w:vMerge w:val="continue"/>
            <w:vAlign w:val="center"/>
          </w:tcPr>
          <w:p w14:paraId="75E08CE6">
            <w:pPr>
              <w:widowControl/>
              <w:autoSpaceDE w:val="0"/>
              <w:autoSpaceDN w:val="0"/>
              <w:spacing w:line="280" w:lineRule="exact"/>
              <w:jc w:val="left"/>
              <w:rPr>
                <w:rFonts w:ascii="Times New Roman" w:hAnsi="Times New Roman" w:eastAsia="仿宋_GB2312" w:cs="方正仿宋_GBK"/>
                <w:color w:val="auto"/>
                <w:szCs w:val="21"/>
              </w:rPr>
            </w:pPr>
          </w:p>
        </w:tc>
        <w:tc>
          <w:tcPr>
            <w:tcW w:w="872" w:type="dxa"/>
            <w:vMerge w:val="continue"/>
            <w:vAlign w:val="center"/>
          </w:tcPr>
          <w:p w14:paraId="3C330E8B">
            <w:pPr>
              <w:widowControl/>
              <w:autoSpaceDE w:val="0"/>
              <w:autoSpaceDN w:val="0"/>
              <w:spacing w:line="280" w:lineRule="exact"/>
              <w:jc w:val="left"/>
              <w:rPr>
                <w:rFonts w:ascii="Times New Roman" w:hAnsi="Times New Roman" w:eastAsia="仿宋_GB2312" w:cs="方正仿宋_GBK"/>
                <w:color w:val="auto"/>
                <w:szCs w:val="21"/>
              </w:rPr>
            </w:pPr>
          </w:p>
        </w:tc>
        <w:tc>
          <w:tcPr>
            <w:tcW w:w="869" w:type="dxa"/>
            <w:vMerge w:val="continue"/>
            <w:vAlign w:val="center"/>
          </w:tcPr>
          <w:p w14:paraId="3A33192C">
            <w:pPr>
              <w:widowControl/>
              <w:autoSpaceDE w:val="0"/>
              <w:autoSpaceDN w:val="0"/>
              <w:spacing w:line="280" w:lineRule="exact"/>
              <w:jc w:val="left"/>
              <w:rPr>
                <w:rFonts w:ascii="Times New Roman" w:hAnsi="Times New Roman" w:eastAsia="仿宋_GB2312" w:cs="方正仿宋_GBK"/>
                <w:color w:val="auto"/>
                <w:szCs w:val="21"/>
              </w:rPr>
            </w:pPr>
          </w:p>
        </w:tc>
        <w:tc>
          <w:tcPr>
            <w:tcW w:w="4962" w:type="dxa"/>
            <w:vMerge w:val="continue"/>
            <w:vAlign w:val="center"/>
          </w:tcPr>
          <w:p w14:paraId="2B2EFD39">
            <w:pPr>
              <w:widowControl/>
              <w:autoSpaceDE w:val="0"/>
              <w:autoSpaceDN w:val="0"/>
              <w:spacing w:line="280" w:lineRule="exact"/>
              <w:jc w:val="left"/>
              <w:rPr>
                <w:rFonts w:ascii="Times New Roman" w:hAnsi="Times New Roman" w:eastAsia="仿宋_GB2312" w:cs="方正仿宋_GBK"/>
                <w:color w:val="auto"/>
                <w:szCs w:val="21"/>
              </w:rPr>
            </w:pPr>
          </w:p>
        </w:tc>
        <w:tc>
          <w:tcPr>
            <w:tcW w:w="992" w:type="dxa"/>
            <w:vMerge w:val="continue"/>
            <w:vAlign w:val="center"/>
          </w:tcPr>
          <w:p w14:paraId="1145DC12">
            <w:pPr>
              <w:widowControl/>
              <w:autoSpaceDE w:val="0"/>
              <w:autoSpaceDN w:val="0"/>
              <w:spacing w:line="280" w:lineRule="exact"/>
              <w:jc w:val="left"/>
              <w:rPr>
                <w:rFonts w:ascii="Times New Roman" w:hAnsi="Times New Roman" w:eastAsia="仿宋_GB2312" w:cs="方正仿宋_GBK"/>
                <w:color w:val="auto"/>
                <w:szCs w:val="21"/>
              </w:rPr>
            </w:pPr>
          </w:p>
        </w:tc>
        <w:tc>
          <w:tcPr>
            <w:tcW w:w="1139" w:type="dxa"/>
            <w:vMerge w:val="continue"/>
            <w:vAlign w:val="center"/>
          </w:tcPr>
          <w:p w14:paraId="7A6E21FC">
            <w:pPr>
              <w:widowControl/>
              <w:autoSpaceDE w:val="0"/>
              <w:autoSpaceDN w:val="0"/>
              <w:spacing w:line="280" w:lineRule="exact"/>
              <w:jc w:val="left"/>
              <w:rPr>
                <w:rFonts w:ascii="Times New Roman" w:hAnsi="Times New Roman" w:eastAsia="仿宋_GB2312" w:cs="方正仿宋_GBK"/>
                <w:color w:val="auto"/>
                <w:szCs w:val="21"/>
              </w:rPr>
            </w:pPr>
          </w:p>
        </w:tc>
        <w:tc>
          <w:tcPr>
            <w:tcW w:w="1491" w:type="dxa"/>
            <w:vAlign w:val="center"/>
          </w:tcPr>
          <w:p w14:paraId="6BF8EC62">
            <w:pPr>
              <w:widowControl/>
              <w:autoSpaceDE w:val="0"/>
              <w:autoSpaceDN w:val="0"/>
              <w:spacing w:line="280" w:lineRule="exact"/>
              <w:jc w:val="left"/>
              <w:rPr>
                <w:rFonts w:ascii="Times New Roman" w:hAnsi="Times New Roman" w:eastAsia="仿宋_GB2312" w:cs="方正仿宋_GBK"/>
                <w:color w:val="auto"/>
                <w:sz w:val="20"/>
                <w:szCs w:val="21"/>
              </w:rPr>
            </w:pPr>
            <w:r>
              <w:rPr>
                <w:rFonts w:hint="eastAsia" w:ascii="Times New Roman" w:hAnsi="Times New Roman" w:eastAsia="仿宋_GB2312" w:cs="方正仿宋_GBK"/>
                <w:color w:val="auto"/>
                <w:sz w:val="20"/>
                <w:szCs w:val="21"/>
              </w:rPr>
              <w:t>3202SZ062000</w:t>
            </w:r>
          </w:p>
        </w:tc>
        <w:tc>
          <w:tcPr>
            <w:tcW w:w="1481" w:type="dxa"/>
            <w:vAlign w:val="center"/>
          </w:tcPr>
          <w:p w14:paraId="365A17C4">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对竣工档案资料不完整或档案人员未签署验收意见，而通过工程竣工验收的处罚</w:t>
            </w:r>
          </w:p>
        </w:tc>
        <w:tc>
          <w:tcPr>
            <w:tcW w:w="622" w:type="dxa"/>
            <w:vAlign w:val="center"/>
          </w:tcPr>
          <w:p w14:paraId="58BFF01C">
            <w:pPr>
              <w:spacing w:line="280" w:lineRule="exact"/>
              <w:rPr>
                <w:rFonts w:ascii="Times New Roman" w:hAnsi="Times New Roman" w:eastAsia="仿宋_GB2312" w:cs="方正仿宋_GBK"/>
                <w:color w:val="auto"/>
                <w:kern w:val="0"/>
                <w:szCs w:val="21"/>
              </w:rPr>
            </w:pPr>
          </w:p>
        </w:tc>
      </w:tr>
      <w:tr w14:paraId="5E7B40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9" w:hRule="atLeast"/>
          <w:jc w:val="center"/>
        </w:trPr>
        <w:tc>
          <w:tcPr>
            <w:tcW w:w="536" w:type="dxa"/>
            <w:vMerge w:val="continue"/>
            <w:vAlign w:val="center"/>
          </w:tcPr>
          <w:p w14:paraId="5D31319F">
            <w:pPr>
              <w:widowControl/>
              <w:autoSpaceDE w:val="0"/>
              <w:autoSpaceDN w:val="0"/>
              <w:spacing w:line="280" w:lineRule="exact"/>
              <w:jc w:val="left"/>
              <w:rPr>
                <w:rFonts w:hint="default" w:ascii="Times New Roman" w:hAnsi="Times New Roman" w:eastAsia="仿宋_GB2312" w:cs="方正仿宋_GBK"/>
                <w:color w:val="auto"/>
                <w:szCs w:val="21"/>
                <w:lang w:val="en-US" w:eastAsia="zh-CN"/>
              </w:rPr>
            </w:pPr>
          </w:p>
        </w:tc>
        <w:tc>
          <w:tcPr>
            <w:tcW w:w="1324" w:type="dxa"/>
            <w:vMerge w:val="continue"/>
            <w:vAlign w:val="center"/>
          </w:tcPr>
          <w:p w14:paraId="0537A3CA">
            <w:pPr>
              <w:widowControl/>
              <w:autoSpaceDE w:val="0"/>
              <w:autoSpaceDN w:val="0"/>
              <w:spacing w:line="280" w:lineRule="exact"/>
              <w:jc w:val="left"/>
              <w:rPr>
                <w:rFonts w:ascii="Times New Roman" w:hAnsi="Times New Roman" w:eastAsia="仿宋_GB2312" w:cs="方正仿宋_GBK"/>
                <w:color w:val="auto"/>
                <w:szCs w:val="21"/>
              </w:rPr>
            </w:pPr>
          </w:p>
        </w:tc>
        <w:tc>
          <w:tcPr>
            <w:tcW w:w="794" w:type="dxa"/>
            <w:vMerge w:val="continue"/>
            <w:vAlign w:val="center"/>
          </w:tcPr>
          <w:p w14:paraId="56EF6967">
            <w:pPr>
              <w:widowControl/>
              <w:autoSpaceDE w:val="0"/>
              <w:autoSpaceDN w:val="0"/>
              <w:spacing w:line="280" w:lineRule="exact"/>
              <w:jc w:val="center"/>
              <w:rPr>
                <w:rFonts w:ascii="Times New Roman" w:hAnsi="Times New Roman" w:eastAsia="仿宋_GB2312" w:cs="方正仿宋_GBK"/>
                <w:color w:val="auto"/>
                <w:szCs w:val="21"/>
              </w:rPr>
            </w:pPr>
          </w:p>
        </w:tc>
        <w:tc>
          <w:tcPr>
            <w:tcW w:w="872" w:type="dxa"/>
            <w:vMerge w:val="continue"/>
            <w:vAlign w:val="center"/>
          </w:tcPr>
          <w:p w14:paraId="6072C121">
            <w:pPr>
              <w:widowControl/>
              <w:autoSpaceDE w:val="0"/>
              <w:autoSpaceDN w:val="0"/>
              <w:spacing w:line="280" w:lineRule="exact"/>
              <w:jc w:val="left"/>
              <w:rPr>
                <w:rFonts w:ascii="Times New Roman" w:hAnsi="Times New Roman" w:eastAsia="仿宋_GB2312" w:cs="方正仿宋_GBK"/>
                <w:color w:val="auto"/>
                <w:szCs w:val="21"/>
              </w:rPr>
            </w:pPr>
          </w:p>
        </w:tc>
        <w:tc>
          <w:tcPr>
            <w:tcW w:w="869" w:type="dxa"/>
            <w:vMerge w:val="continue"/>
            <w:vAlign w:val="center"/>
          </w:tcPr>
          <w:p w14:paraId="6BEF3CE8">
            <w:pPr>
              <w:widowControl/>
              <w:autoSpaceDE w:val="0"/>
              <w:autoSpaceDN w:val="0"/>
              <w:spacing w:line="280" w:lineRule="exact"/>
              <w:jc w:val="left"/>
              <w:rPr>
                <w:rFonts w:ascii="Times New Roman" w:hAnsi="Times New Roman" w:eastAsia="仿宋_GB2312" w:cs="方正仿宋_GBK"/>
                <w:color w:val="auto"/>
                <w:szCs w:val="21"/>
              </w:rPr>
            </w:pPr>
          </w:p>
        </w:tc>
        <w:tc>
          <w:tcPr>
            <w:tcW w:w="4962" w:type="dxa"/>
            <w:vMerge w:val="continue"/>
            <w:vAlign w:val="center"/>
          </w:tcPr>
          <w:p w14:paraId="3737A589">
            <w:pPr>
              <w:keepNext w:val="0"/>
              <w:keepLines w:val="0"/>
              <w:pageBreakBefore w:val="0"/>
              <w:widowControl/>
              <w:kinsoku/>
              <w:wordWrap/>
              <w:overflowPunct/>
              <w:topLinePunct w:val="0"/>
              <w:autoSpaceDE w:val="0"/>
              <w:autoSpaceDN w:val="0"/>
              <w:bidi w:val="0"/>
              <w:adjustRightInd/>
              <w:snapToGrid/>
              <w:spacing w:line="260" w:lineRule="exact"/>
              <w:ind w:firstLine="420" w:firstLineChars="200"/>
              <w:jc w:val="left"/>
              <w:textAlignment w:val="auto"/>
              <w:rPr>
                <w:rFonts w:ascii="Times New Roman" w:hAnsi="Times New Roman" w:eastAsia="仿宋_GB2312"/>
                <w:color w:val="auto"/>
                <w:szCs w:val="21"/>
              </w:rPr>
            </w:pPr>
          </w:p>
        </w:tc>
        <w:tc>
          <w:tcPr>
            <w:tcW w:w="992" w:type="dxa"/>
            <w:vMerge w:val="continue"/>
            <w:vAlign w:val="center"/>
          </w:tcPr>
          <w:p w14:paraId="43D9430B">
            <w:pPr>
              <w:widowControl/>
              <w:autoSpaceDE w:val="0"/>
              <w:autoSpaceDN w:val="0"/>
              <w:spacing w:line="280" w:lineRule="exact"/>
              <w:jc w:val="center"/>
              <w:rPr>
                <w:rFonts w:ascii="Times New Roman" w:hAnsi="Times New Roman" w:eastAsia="仿宋_GB2312" w:cs="方正仿宋_GBK"/>
                <w:color w:val="auto"/>
                <w:szCs w:val="21"/>
              </w:rPr>
            </w:pPr>
          </w:p>
        </w:tc>
        <w:tc>
          <w:tcPr>
            <w:tcW w:w="1139" w:type="dxa"/>
            <w:vMerge w:val="continue"/>
            <w:vAlign w:val="center"/>
          </w:tcPr>
          <w:p w14:paraId="79405E68">
            <w:pPr>
              <w:widowControl/>
              <w:autoSpaceDE w:val="0"/>
              <w:autoSpaceDN w:val="0"/>
              <w:spacing w:line="280" w:lineRule="exact"/>
              <w:jc w:val="center"/>
              <w:rPr>
                <w:rFonts w:ascii="Times New Roman" w:hAnsi="Times New Roman" w:eastAsia="仿宋_GB2312" w:cs="方正仿宋_GBK"/>
                <w:color w:val="auto"/>
                <w:szCs w:val="21"/>
              </w:rPr>
            </w:pPr>
          </w:p>
        </w:tc>
        <w:tc>
          <w:tcPr>
            <w:tcW w:w="1491" w:type="dxa"/>
            <w:vAlign w:val="center"/>
          </w:tcPr>
          <w:p w14:paraId="2B9653B5">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320217167000</w:t>
            </w:r>
          </w:p>
          <w:p w14:paraId="2BB5E98D">
            <w:pPr>
              <w:widowControl/>
              <w:autoSpaceDE w:val="0"/>
              <w:autoSpaceDN w:val="0"/>
              <w:spacing w:line="280" w:lineRule="exact"/>
              <w:jc w:val="left"/>
              <w:rPr>
                <w:rFonts w:ascii="Times New Roman" w:hAnsi="Times New Roman" w:eastAsia="仿宋_GB2312" w:cs="方正仿宋_GBK"/>
                <w:color w:val="auto"/>
                <w:szCs w:val="21"/>
              </w:rPr>
            </w:pPr>
          </w:p>
        </w:tc>
        <w:tc>
          <w:tcPr>
            <w:tcW w:w="1481" w:type="dxa"/>
            <w:vAlign w:val="center"/>
          </w:tcPr>
          <w:p w14:paraId="390BD3B0">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对建设单位未向建设行政主管部门移交建设项目档案的处罚</w:t>
            </w:r>
          </w:p>
        </w:tc>
        <w:tc>
          <w:tcPr>
            <w:tcW w:w="622" w:type="dxa"/>
            <w:vMerge w:val="restart"/>
            <w:vAlign w:val="center"/>
          </w:tcPr>
          <w:p w14:paraId="6F7DAB42">
            <w:pPr>
              <w:spacing w:line="280" w:lineRule="exact"/>
              <w:rPr>
                <w:rFonts w:ascii="Times New Roman" w:hAnsi="Times New Roman" w:eastAsia="仿宋_GB2312"/>
                <w:color w:val="auto"/>
                <w:kern w:val="0"/>
                <w:szCs w:val="21"/>
              </w:rPr>
            </w:pPr>
          </w:p>
        </w:tc>
      </w:tr>
      <w:tr w14:paraId="2288F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6" w:hRule="atLeast"/>
          <w:jc w:val="center"/>
        </w:trPr>
        <w:tc>
          <w:tcPr>
            <w:tcW w:w="536" w:type="dxa"/>
            <w:vMerge w:val="continue"/>
            <w:vAlign w:val="center"/>
          </w:tcPr>
          <w:p w14:paraId="237FE630">
            <w:pPr>
              <w:widowControl/>
              <w:autoSpaceDE w:val="0"/>
              <w:autoSpaceDN w:val="0"/>
              <w:spacing w:line="280" w:lineRule="exact"/>
              <w:jc w:val="left"/>
              <w:rPr>
                <w:rFonts w:ascii="Times New Roman" w:hAnsi="Times New Roman" w:eastAsia="仿宋_GB2312" w:cs="方正仿宋_GBK"/>
                <w:color w:val="auto"/>
                <w:szCs w:val="21"/>
              </w:rPr>
            </w:pPr>
          </w:p>
        </w:tc>
        <w:tc>
          <w:tcPr>
            <w:tcW w:w="1324" w:type="dxa"/>
            <w:vMerge w:val="continue"/>
            <w:vAlign w:val="center"/>
          </w:tcPr>
          <w:p w14:paraId="4006B5A6">
            <w:pPr>
              <w:widowControl/>
              <w:autoSpaceDE w:val="0"/>
              <w:autoSpaceDN w:val="0"/>
              <w:spacing w:line="280" w:lineRule="exact"/>
              <w:jc w:val="left"/>
              <w:rPr>
                <w:rFonts w:ascii="Times New Roman" w:hAnsi="Times New Roman" w:eastAsia="仿宋_GB2312" w:cs="方正仿宋_GBK"/>
                <w:color w:val="auto"/>
                <w:szCs w:val="21"/>
              </w:rPr>
            </w:pPr>
          </w:p>
        </w:tc>
        <w:tc>
          <w:tcPr>
            <w:tcW w:w="794" w:type="dxa"/>
            <w:vMerge w:val="continue"/>
            <w:vAlign w:val="center"/>
          </w:tcPr>
          <w:p w14:paraId="08466BF3">
            <w:pPr>
              <w:widowControl/>
              <w:autoSpaceDE w:val="0"/>
              <w:autoSpaceDN w:val="0"/>
              <w:spacing w:line="280" w:lineRule="exact"/>
              <w:jc w:val="center"/>
              <w:rPr>
                <w:rFonts w:ascii="Times New Roman" w:hAnsi="Times New Roman" w:eastAsia="仿宋_GB2312" w:cs="方正仿宋_GBK"/>
                <w:color w:val="auto"/>
                <w:szCs w:val="21"/>
              </w:rPr>
            </w:pPr>
          </w:p>
        </w:tc>
        <w:tc>
          <w:tcPr>
            <w:tcW w:w="872" w:type="dxa"/>
            <w:vMerge w:val="continue"/>
            <w:vAlign w:val="center"/>
          </w:tcPr>
          <w:p w14:paraId="76808318">
            <w:pPr>
              <w:widowControl/>
              <w:autoSpaceDE w:val="0"/>
              <w:autoSpaceDN w:val="0"/>
              <w:spacing w:line="280" w:lineRule="exact"/>
              <w:jc w:val="left"/>
              <w:rPr>
                <w:rFonts w:ascii="Times New Roman" w:hAnsi="Times New Roman" w:eastAsia="仿宋_GB2312" w:cs="方正仿宋_GBK"/>
                <w:color w:val="auto"/>
                <w:szCs w:val="21"/>
              </w:rPr>
            </w:pPr>
          </w:p>
        </w:tc>
        <w:tc>
          <w:tcPr>
            <w:tcW w:w="869" w:type="dxa"/>
            <w:vMerge w:val="continue"/>
            <w:vAlign w:val="center"/>
          </w:tcPr>
          <w:p w14:paraId="1CDD4ADC">
            <w:pPr>
              <w:widowControl/>
              <w:autoSpaceDE w:val="0"/>
              <w:autoSpaceDN w:val="0"/>
              <w:spacing w:line="280" w:lineRule="exact"/>
              <w:jc w:val="left"/>
              <w:rPr>
                <w:rFonts w:ascii="Times New Roman" w:hAnsi="Times New Roman" w:eastAsia="仿宋_GB2312" w:cs="方正仿宋_GBK"/>
                <w:color w:val="auto"/>
                <w:szCs w:val="21"/>
              </w:rPr>
            </w:pPr>
          </w:p>
        </w:tc>
        <w:tc>
          <w:tcPr>
            <w:tcW w:w="4962" w:type="dxa"/>
            <w:vMerge w:val="continue"/>
            <w:vAlign w:val="center"/>
          </w:tcPr>
          <w:p w14:paraId="17E70347">
            <w:pPr>
              <w:widowControl/>
              <w:autoSpaceDE w:val="0"/>
              <w:autoSpaceDN w:val="0"/>
              <w:spacing w:line="280" w:lineRule="exact"/>
              <w:jc w:val="left"/>
              <w:rPr>
                <w:rFonts w:ascii="Times New Roman" w:hAnsi="Times New Roman" w:eastAsia="仿宋_GB2312" w:cs="方正仿宋_GBK"/>
                <w:color w:val="auto"/>
                <w:szCs w:val="21"/>
              </w:rPr>
            </w:pPr>
          </w:p>
        </w:tc>
        <w:tc>
          <w:tcPr>
            <w:tcW w:w="992" w:type="dxa"/>
            <w:vMerge w:val="continue"/>
            <w:vAlign w:val="center"/>
          </w:tcPr>
          <w:p w14:paraId="11C5CACD">
            <w:pPr>
              <w:widowControl/>
              <w:autoSpaceDE w:val="0"/>
              <w:autoSpaceDN w:val="0"/>
              <w:spacing w:line="280" w:lineRule="exact"/>
              <w:jc w:val="left"/>
              <w:rPr>
                <w:rFonts w:ascii="Times New Roman" w:hAnsi="Times New Roman" w:eastAsia="仿宋_GB2312"/>
                <w:color w:val="auto"/>
                <w:szCs w:val="21"/>
              </w:rPr>
            </w:pPr>
          </w:p>
        </w:tc>
        <w:tc>
          <w:tcPr>
            <w:tcW w:w="1139" w:type="dxa"/>
            <w:vMerge w:val="continue"/>
            <w:vAlign w:val="center"/>
          </w:tcPr>
          <w:p w14:paraId="7C0D6D45">
            <w:pPr>
              <w:widowControl/>
              <w:autoSpaceDE w:val="0"/>
              <w:autoSpaceDN w:val="0"/>
              <w:spacing w:line="280" w:lineRule="exact"/>
              <w:jc w:val="center"/>
              <w:rPr>
                <w:rFonts w:ascii="Times New Roman" w:hAnsi="Times New Roman" w:eastAsia="仿宋_GB2312"/>
                <w:color w:val="auto"/>
                <w:szCs w:val="21"/>
              </w:rPr>
            </w:pPr>
          </w:p>
        </w:tc>
        <w:tc>
          <w:tcPr>
            <w:tcW w:w="1491" w:type="dxa"/>
            <w:vAlign w:val="center"/>
          </w:tcPr>
          <w:p w14:paraId="2E7288D5">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321017059000</w:t>
            </w:r>
          </w:p>
        </w:tc>
        <w:tc>
          <w:tcPr>
            <w:tcW w:w="1481" w:type="dxa"/>
            <w:vAlign w:val="center"/>
          </w:tcPr>
          <w:p w14:paraId="17219F95">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建设工程档案验收</w:t>
            </w:r>
          </w:p>
        </w:tc>
        <w:tc>
          <w:tcPr>
            <w:tcW w:w="622" w:type="dxa"/>
            <w:vMerge w:val="continue"/>
            <w:vAlign w:val="center"/>
          </w:tcPr>
          <w:p w14:paraId="7E58E705">
            <w:pPr>
              <w:spacing w:line="280" w:lineRule="exact"/>
              <w:rPr>
                <w:rFonts w:ascii="Times New Roman" w:hAnsi="Times New Roman" w:eastAsia="仿宋_GB2312"/>
                <w:color w:val="auto"/>
                <w:kern w:val="0"/>
                <w:szCs w:val="21"/>
              </w:rPr>
            </w:pPr>
          </w:p>
        </w:tc>
      </w:tr>
      <w:tr w14:paraId="606B16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6" w:hRule="atLeast"/>
          <w:jc w:val="center"/>
        </w:trPr>
        <w:tc>
          <w:tcPr>
            <w:tcW w:w="536" w:type="dxa"/>
            <w:vMerge w:val="restart"/>
            <w:vAlign w:val="center"/>
          </w:tcPr>
          <w:p w14:paraId="5BCFB9A4">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lang w:val="en-US" w:eastAsia="zh-CN"/>
              </w:rPr>
              <w:t>17</w:t>
            </w:r>
          </w:p>
        </w:tc>
        <w:tc>
          <w:tcPr>
            <w:tcW w:w="1324" w:type="dxa"/>
            <w:vMerge w:val="restart"/>
            <w:vAlign w:val="center"/>
          </w:tcPr>
          <w:p w14:paraId="1BD56164">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对建设工程档案的行政检查</w:t>
            </w:r>
          </w:p>
        </w:tc>
        <w:tc>
          <w:tcPr>
            <w:tcW w:w="794" w:type="dxa"/>
            <w:vMerge w:val="restart"/>
            <w:vAlign w:val="center"/>
          </w:tcPr>
          <w:p w14:paraId="65F51D9F">
            <w:pPr>
              <w:widowControl/>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苏州市相城区住房和城乡建设局</w:t>
            </w:r>
          </w:p>
        </w:tc>
        <w:tc>
          <w:tcPr>
            <w:tcW w:w="872" w:type="dxa"/>
            <w:vMerge w:val="restart"/>
            <w:vAlign w:val="center"/>
          </w:tcPr>
          <w:p w14:paraId="7AC6A976">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相城区建设工程质量安全监督中心</w:t>
            </w:r>
          </w:p>
        </w:tc>
        <w:tc>
          <w:tcPr>
            <w:tcW w:w="869" w:type="dxa"/>
            <w:vMerge w:val="restart"/>
            <w:vAlign w:val="center"/>
          </w:tcPr>
          <w:p w14:paraId="496ACEDA">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工程项目建设单位</w:t>
            </w:r>
          </w:p>
        </w:tc>
        <w:tc>
          <w:tcPr>
            <w:tcW w:w="4962" w:type="dxa"/>
            <w:vMerge w:val="continue"/>
            <w:vAlign w:val="center"/>
          </w:tcPr>
          <w:p w14:paraId="6A298074">
            <w:pPr>
              <w:widowControl/>
              <w:autoSpaceDE w:val="0"/>
              <w:autoSpaceDN w:val="0"/>
              <w:spacing w:line="280" w:lineRule="exact"/>
              <w:jc w:val="left"/>
              <w:rPr>
                <w:rFonts w:ascii="Times New Roman" w:hAnsi="Times New Roman" w:eastAsia="仿宋_GB2312" w:cs="方正仿宋_GBK"/>
                <w:color w:val="auto"/>
                <w:szCs w:val="21"/>
              </w:rPr>
            </w:pPr>
          </w:p>
        </w:tc>
        <w:tc>
          <w:tcPr>
            <w:tcW w:w="992" w:type="dxa"/>
            <w:vMerge w:val="restart"/>
            <w:vAlign w:val="center"/>
          </w:tcPr>
          <w:p w14:paraId="3215EEE4">
            <w:pPr>
              <w:widowControl/>
              <w:autoSpaceDE w:val="0"/>
              <w:autoSpaceDN w:val="0"/>
              <w:spacing w:line="280" w:lineRule="exact"/>
              <w:jc w:val="center"/>
              <w:rPr>
                <w:rFonts w:ascii="Times New Roman" w:hAnsi="Times New Roman" w:eastAsia="仿宋_GB2312"/>
                <w:color w:val="auto"/>
                <w:szCs w:val="21"/>
              </w:rPr>
            </w:pPr>
            <w:r>
              <w:rPr>
                <w:rFonts w:hint="eastAsia" w:ascii="Times New Roman" w:hAnsi="Times New Roman" w:eastAsia="仿宋_GB2312" w:cs="方正仿宋_GBK"/>
                <w:color w:val="auto"/>
                <w:szCs w:val="21"/>
              </w:rPr>
              <w:t>现场检查和线上检查相结合</w:t>
            </w:r>
          </w:p>
        </w:tc>
        <w:tc>
          <w:tcPr>
            <w:tcW w:w="1139" w:type="dxa"/>
            <w:vMerge w:val="restart"/>
            <w:vAlign w:val="center"/>
          </w:tcPr>
          <w:p w14:paraId="7E8FA606">
            <w:pPr>
              <w:widowControl/>
              <w:autoSpaceDE w:val="0"/>
              <w:autoSpaceDN w:val="0"/>
              <w:spacing w:line="280" w:lineRule="exact"/>
              <w:jc w:val="center"/>
              <w:rPr>
                <w:rFonts w:ascii="Times New Roman" w:hAnsi="Times New Roman" w:eastAsia="仿宋_GB2312"/>
                <w:color w:val="auto"/>
                <w:szCs w:val="21"/>
              </w:rPr>
            </w:pPr>
            <w:r>
              <w:rPr>
                <w:rFonts w:hint="eastAsia" w:ascii="Times New Roman" w:hAnsi="Times New Roman" w:eastAsia="仿宋_GB2312" w:cs="方正仿宋_GBK"/>
                <w:color w:val="auto"/>
                <w:szCs w:val="21"/>
              </w:rPr>
              <w:t>7-12月</w:t>
            </w:r>
          </w:p>
        </w:tc>
        <w:tc>
          <w:tcPr>
            <w:tcW w:w="1491" w:type="dxa"/>
            <w:vAlign w:val="center"/>
          </w:tcPr>
          <w:p w14:paraId="32909AAB">
            <w:pPr>
              <w:widowControl/>
              <w:autoSpaceDE w:val="0"/>
              <w:autoSpaceDN w:val="0"/>
              <w:spacing w:line="280" w:lineRule="exact"/>
              <w:jc w:val="left"/>
              <w:rPr>
                <w:rFonts w:ascii="Times New Roman" w:hAnsi="Times New Roman" w:eastAsia="仿宋_GB2312" w:cs="方正仿宋_GBK"/>
                <w:color w:val="auto"/>
                <w:sz w:val="20"/>
                <w:szCs w:val="21"/>
              </w:rPr>
            </w:pPr>
            <w:r>
              <w:rPr>
                <w:rFonts w:hint="eastAsia" w:ascii="Times New Roman" w:hAnsi="Times New Roman" w:eastAsia="仿宋_GB2312" w:cs="方正仿宋_GBK"/>
                <w:color w:val="auto"/>
                <w:sz w:val="20"/>
                <w:szCs w:val="21"/>
              </w:rPr>
              <w:t>3210SZ005000</w:t>
            </w:r>
          </w:p>
        </w:tc>
        <w:tc>
          <w:tcPr>
            <w:tcW w:w="1481" w:type="dxa"/>
            <w:vAlign w:val="center"/>
          </w:tcPr>
          <w:p w14:paraId="3A612514">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建设工程档案登记、接收</w:t>
            </w:r>
          </w:p>
        </w:tc>
        <w:tc>
          <w:tcPr>
            <w:tcW w:w="622" w:type="dxa"/>
            <w:vMerge w:val="continue"/>
            <w:vAlign w:val="center"/>
          </w:tcPr>
          <w:p w14:paraId="54DF8BDB">
            <w:pPr>
              <w:spacing w:line="280" w:lineRule="exact"/>
              <w:rPr>
                <w:rFonts w:ascii="Times New Roman" w:hAnsi="Times New Roman" w:eastAsia="仿宋_GB2312"/>
                <w:color w:val="auto"/>
                <w:kern w:val="0"/>
                <w:szCs w:val="21"/>
              </w:rPr>
            </w:pPr>
          </w:p>
        </w:tc>
      </w:tr>
      <w:tr w14:paraId="28065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6" w:hRule="atLeast"/>
          <w:jc w:val="center"/>
        </w:trPr>
        <w:tc>
          <w:tcPr>
            <w:tcW w:w="536" w:type="dxa"/>
            <w:vMerge w:val="continue"/>
            <w:vAlign w:val="center"/>
          </w:tcPr>
          <w:p w14:paraId="7F9F3F61">
            <w:pPr>
              <w:widowControl/>
              <w:autoSpaceDE w:val="0"/>
              <w:autoSpaceDN w:val="0"/>
              <w:spacing w:line="280" w:lineRule="exact"/>
              <w:jc w:val="left"/>
              <w:rPr>
                <w:rFonts w:ascii="Times New Roman" w:hAnsi="Times New Roman" w:eastAsia="仿宋_GB2312" w:cs="方正仿宋_GBK"/>
                <w:color w:val="auto"/>
                <w:szCs w:val="21"/>
              </w:rPr>
            </w:pPr>
          </w:p>
        </w:tc>
        <w:tc>
          <w:tcPr>
            <w:tcW w:w="1324" w:type="dxa"/>
            <w:vMerge w:val="continue"/>
            <w:vAlign w:val="center"/>
          </w:tcPr>
          <w:p w14:paraId="305A406E">
            <w:pPr>
              <w:widowControl/>
              <w:autoSpaceDE w:val="0"/>
              <w:autoSpaceDN w:val="0"/>
              <w:spacing w:line="280" w:lineRule="exact"/>
              <w:jc w:val="left"/>
              <w:rPr>
                <w:rFonts w:ascii="Times New Roman" w:hAnsi="Times New Roman" w:eastAsia="仿宋_GB2312" w:cs="方正仿宋_GBK"/>
                <w:color w:val="auto"/>
                <w:szCs w:val="21"/>
              </w:rPr>
            </w:pPr>
          </w:p>
        </w:tc>
        <w:tc>
          <w:tcPr>
            <w:tcW w:w="794" w:type="dxa"/>
            <w:vMerge w:val="continue"/>
            <w:vAlign w:val="center"/>
          </w:tcPr>
          <w:p w14:paraId="22942C21">
            <w:pPr>
              <w:widowControl/>
              <w:autoSpaceDE w:val="0"/>
              <w:autoSpaceDN w:val="0"/>
              <w:spacing w:line="280" w:lineRule="exact"/>
              <w:jc w:val="center"/>
              <w:rPr>
                <w:rFonts w:ascii="Times New Roman" w:hAnsi="Times New Roman" w:eastAsia="仿宋_GB2312" w:cs="方正仿宋_GBK"/>
                <w:color w:val="auto"/>
                <w:szCs w:val="21"/>
              </w:rPr>
            </w:pPr>
          </w:p>
        </w:tc>
        <w:tc>
          <w:tcPr>
            <w:tcW w:w="872" w:type="dxa"/>
            <w:vMerge w:val="continue"/>
            <w:vAlign w:val="center"/>
          </w:tcPr>
          <w:p w14:paraId="5944AF79">
            <w:pPr>
              <w:widowControl/>
              <w:autoSpaceDE w:val="0"/>
              <w:autoSpaceDN w:val="0"/>
              <w:spacing w:line="280" w:lineRule="exact"/>
              <w:jc w:val="left"/>
              <w:rPr>
                <w:rFonts w:ascii="Times New Roman" w:hAnsi="Times New Roman" w:eastAsia="仿宋_GB2312" w:cs="方正仿宋_GBK"/>
                <w:color w:val="auto"/>
                <w:szCs w:val="21"/>
              </w:rPr>
            </w:pPr>
          </w:p>
        </w:tc>
        <w:tc>
          <w:tcPr>
            <w:tcW w:w="869" w:type="dxa"/>
            <w:vMerge w:val="continue"/>
            <w:vAlign w:val="center"/>
          </w:tcPr>
          <w:p w14:paraId="0A5A0861">
            <w:pPr>
              <w:widowControl/>
              <w:autoSpaceDE w:val="0"/>
              <w:autoSpaceDN w:val="0"/>
              <w:spacing w:line="280" w:lineRule="exact"/>
              <w:jc w:val="left"/>
              <w:rPr>
                <w:rFonts w:ascii="Times New Roman" w:hAnsi="Times New Roman" w:eastAsia="仿宋_GB2312" w:cs="方正仿宋_GBK"/>
                <w:color w:val="auto"/>
                <w:szCs w:val="21"/>
              </w:rPr>
            </w:pPr>
          </w:p>
        </w:tc>
        <w:tc>
          <w:tcPr>
            <w:tcW w:w="4962" w:type="dxa"/>
            <w:vMerge w:val="continue"/>
            <w:vAlign w:val="center"/>
          </w:tcPr>
          <w:p w14:paraId="4777A039">
            <w:pPr>
              <w:widowControl/>
              <w:autoSpaceDE w:val="0"/>
              <w:autoSpaceDN w:val="0"/>
              <w:spacing w:line="280" w:lineRule="exact"/>
              <w:jc w:val="left"/>
              <w:rPr>
                <w:rFonts w:ascii="Times New Roman" w:hAnsi="Times New Roman" w:eastAsia="仿宋_GB2312" w:cs="方正仿宋_GBK"/>
                <w:color w:val="auto"/>
                <w:szCs w:val="21"/>
              </w:rPr>
            </w:pPr>
          </w:p>
        </w:tc>
        <w:tc>
          <w:tcPr>
            <w:tcW w:w="992" w:type="dxa"/>
            <w:vMerge w:val="continue"/>
            <w:vAlign w:val="center"/>
          </w:tcPr>
          <w:p w14:paraId="467C0B50">
            <w:pPr>
              <w:widowControl/>
              <w:autoSpaceDE w:val="0"/>
              <w:autoSpaceDN w:val="0"/>
              <w:spacing w:line="280" w:lineRule="exact"/>
              <w:jc w:val="left"/>
              <w:rPr>
                <w:rFonts w:ascii="Times New Roman" w:hAnsi="Times New Roman" w:eastAsia="仿宋_GB2312"/>
                <w:color w:val="auto"/>
                <w:szCs w:val="21"/>
              </w:rPr>
            </w:pPr>
          </w:p>
        </w:tc>
        <w:tc>
          <w:tcPr>
            <w:tcW w:w="1139" w:type="dxa"/>
            <w:vMerge w:val="continue"/>
            <w:vAlign w:val="center"/>
          </w:tcPr>
          <w:p w14:paraId="61ADB49C">
            <w:pPr>
              <w:widowControl/>
              <w:autoSpaceDE w:val="0"/>
              <w:autoSpaceDN w:val="0"/>
              <w:spacing w:line="280" w:lineRule="exact"/>
              <w:jc w:val="center"/>
              <w:rPr>
                <w:rFonts w:ascii="Times New Roman" w:hAnsi="Times New Roman" w:eastAsia="仿宋_GB2312"/>
                <w:color w:val="auto"/>
                <w:szCs w:val="21"/>
              </w:rPr>
            </w:pPr>
          </w:p>
        </w:tc>
        <w:tc>
          <w:tcPr>
            <w:tcW w:w="1491" w:type="dxa"/>
            <w:vAlign w:val="center"/>
          </w:tcPr>
          <w:p w14:paraId="1AF98D15">
            <w:pPr>
              <w:widowControl/>
              <w:autoSpaceDE w:val="0"/>
              <w:autoSpaceDN w:val="0"/>
              <w:spacing w:line="280" w:lineRule="exact"/>
              <w:jc w:val="left"/>
              <w:rPr>
                <w:rFonts w:ascii="Times New Roman" w:hAnsi="Times New Roman" w:eastAsia="仿宋_GB2312" w:cs="方正仿宋_GBK"/>
                <w:color w:val="auto"/>
                <w:sz w:val="20"/>
                <w:szCs w:val="21"/>
              </w:rPr>
            </w:pPr>
            <w:r>
              <w:rPr>
                <w:rFonts w:hint="eastAsia" w:ascii="Times New Roman" w:hAnsi="Times New Roman" w:eastAsia="仿宋_GB2312" w:cs="方正仿宋_GBK"/>
                <w:color w:val="auto"/>
                <w:sz w:val="20"/>
                <w:szCs w:val="21"/>
              </w:rPr>
              <w:t>3202SZ062000</w:t>
            </w:r>
          </w:p>
        </w:tc>
        <w:tc>
          <w:tcPr>
            <w:tcW w:w="1481" w:type="dxa"/>
            <w:vAlign w:val="center"/>
          </w:tcPr>
          <w:p w14:paraId="33508403">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对竣工档案资料不完整或档案人员未签署验收意见，而通过工程竣工验收的处罚</w:t>
            </w:r>
          </w:p>
        </w:tc>
        <w:tc>
          <w:tcPr>
            <w:tcW w:w="622" w:type="dxa"/>
            <w:vMerge w:val="continue"/>
            <w:vAlign w:val="center"/>
          </w:tcPr>
          <w:p w14:paraId="02A4358E">
            <w:pPr>
              <w:spacing w:line="280" w:lineRule="exact"/>
              <w:rPr>
                <w:rFonts w:ascii="Times New Roman" w:hAnsi="Times New Roman" w:eastAsia="仿宋_GB2312"/>
                <w:color w:val="auto"/>
                <w:kern w:val="0"/>
                <w:szCs w:val="21"/>
              </w:rPr>
            </w:pPr>
          </w:p>
        </w:tc>
      </w:tr>
      <w:tr w14:paraId="3E3E59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6" w:hRule="atLeast"/>
          <w:jc w:val="center"/>
        </w:trPr>
        <w:tc>
          <w:tcPr>
            <w:tcW w:w="536" w:type="dxa"/>
            <w:vMerge w:val="restart"/>
            <w:vAlign w:val="center"/>
          </w:tcPr>
          <w:p w14:paraId="0B4BB557">
            <w:pPr>
              <w:widowControl/>
              <w:autoSpaceDE w:val="0"/>
              <w:autoSpaceDN w:val="0"/>
              <w:spacing w:line="280" w:lineRule="exact"/>
              <w:jc w:val="left"/>
              <w:rPr>
                <w:rFonts w:hint="default" w:ascii="Times New Roman" w:hAnsi="Times New Roman" w:eastAsia="仿宋_GB2312" w:cs="方正仿宋_GBK"/>
                <w:color w:val="auto"/>
                <w:szCs w:val="21"/>
                <w:lang w:val="en-US" w:eastAsia="zh-CN"/>
              </w:rPr>
            </w:pPr>
            <w:r>
              <w:rPr>
                <w:rFonts w:hint="eastAsia" w:ascii="Times New Roman" w:hAnsi="Times New Roman" w:eastAsia="仿宋_GB2312" w:cs="方正仿宋_GBK"/>
                <w:color w:val="auto"/>
                <w:szCs w:val="21"/>
                <w:lang w:val="en-US" w:eastAsia="zh-CN"/>
              </w:rPr>
              <w:t>18</w:t>
            </w:r>
          </w:p>
        </w:tc>
        <w:tc>
          <w:tcPr>
            <w:tcW w:w="1324" w:type="dxa"/>
            <w:vMerge w:val="restart"/>
            <w:vAlign w:val="center"/>
          </w:tcPr>
          <w:p w14:paraId="699A608F">
            <w:pPr>
              <w:widowControl/>
              <w:autoSpaceDE w:val="0"/>
              <w:autoSpaceDN w:val="0"/>
              <w:spacing w:line="280" w:lineRule="exact"/>
              <w:jc w:val="left"/>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对燃气经营者</w:t>
            </w:r>
            <w:r>
              <w:rPr>
                <w:rFonts w:hint="eastAsia" w:ascii="Times New Roman" w:hAnsi="Times New Roman" w:eastAsia="仿宋_GB2312" w:cs="方正仿宋_GBK"/>
                <w:color w:val="auto"/>
                <w:szCs w:val="21"/>
                <w:lang w:val="en-US" w:eastAsia="zh-CN"/>
              </w:rPr>
              <w:t>的行政检查</w:t>
            </w:r>
          </w:p>
        </w:tc>
        <w:tc>
          <w:tcPr>
            <w:tcW w:w="794" w:type="dxa"/>
            <w:vMerge w:val="restart"/>
            <w:vAlign w:val="center"/>
          </w:tcPr>
          <w:p w14:paraId="322C85EC">
            <w:pPr>
              <w:widowControl/>
              <w:autoSpaceDE w:val="0"/>
              <w:autoSpaceDN w:val="0"/>
              <w:spacing w:line="280" w:lineRule="exact"/>
              <w:jc w:val="center"/>
              <w:rPr>
                <w:rFonts w:hint="default" w:ascii="Times New Roman" w:hAnsi="Times New Roman" w:eastAsia="仿宋_GB2312" w:cs="方正仿宋_GBK"/>
                <w:color w:val="auto"/>
                <w:szCs w:val="21"/>
                <w:lang w:val="en-US" w:eastAsia="zh-CN"/>
              </w:rPr>
            </w:pPr>
            <w:r>
              <w:rPr>
                <w:rFonts w:hint="eastAsia" w:ascii="Times New Roman" w:hAnsi="Times New Roman" w:eastAsia="仿宋_GB2312" w:cs="方正仿宋_GBK"/>
                <w:color w:val="auto"/>
                <w:szCs w:val="21"/>
                <w:lang w:val="en-US" w:eastAsia="zh-CN"/>
              </w:rPr>
              <w:t>苏州市相城区住房和城乡建设局</w:t>
            </w:r>
          </w:p>
        </w:tc>
        <w:tc>
          <w:tcPr>
            <w:tcW w:w="872" w:type="dxa"/>
            <w:vMerge w:val="restart"/>
            <w:vAlign w:val="center"/>
          </w:tcPr>
          <w:p w14:paraId="3E53A119">
            <w:pPr>
              <w:widowControl/>
              <w:autoSpaceDE w:val="0"/>
              <w:autoSpaceDN w:val="0"/>
              <w:spacing w:line="280" w:lineRule="exact"/>
              <w:jc w:val="left"/>
              <w:rPr>
                <w:rFonts w:hint="default" w:ascii="Times New Roman" w:hAnsi="Times New Roman" w:eastAsia="仿宋_GB2312" w:cs="方正仿宋_GBK"/>
                <w:color w:val="auto"/>
                <w:szCs w:val="21"/>
                <w:lang w:val="en-US" w:eastAsia="zh-CN"/>
              </w:rPr>
            </w:pPr>
            <w:r>
              <w:rPr>
                <w:rFonts w:hint="eastAsia" w:ascii="Times New Roman" w:hAnsi="Times New Roman" w:eastAsia="仿宋_GB2312" w:cs="方正仿宋_GBK"/>
                <w:color w:val="auto"/>
                <w:szCs w:val="21"/>
                <w:lang w:val="en-US" w:eastAsia="zh-CN"/>
              </w:rPr>
              <w:t>建设工程管理科</w:t>
            </w:r>
          </w:p>
        </w:tc>
        <w:tc>
          <w:tcPr>
            <w:tcW w:w="869" w:type="dxa"/>
            <w:vMerge w:val="restart"/>
            <w:vAlign w:val="center"/>
          </w:tcPr>
          <w:p w14:paraId="23A47E0E">
            <w:pPr>
              <w:widowControl/>
              <w:autoSpaceDE w:val="0"/>
              <w:autoSpaceDN w:val="0"/>
              <w:spacing w:line="280" w:lineRule="exact"/>
              <w:jc w:val="left"/>
              <w:rPr>
                <w:rFonts w:hint="default" w:ascii="Times New Roman" w:hAnsi="Times New Roman" w:eastAsia="仿宋_GB2312" w:cs="方正仿宋_GBK"/>
                <w:color w:val="auto"/>
                <w:szCs w:val="21"/>
                <w:lang w:val="en-US" w:eastAsia="zh-CN"/>
              </w:rPr>
            </w:pPr>
            <w:r>
              <w:rPr>
                <w:rFonts w:hint="eastAsia" w:ascii="Times New Roman" w:hAnsi="Times New Roman" w:eastAsia="仿宋_GB2312" w:cs="方正仿宋_GBK"/>
                <w:color w:val="auto"/>
                <w:szCs w:val="21"/>
                <w:lang w:val="en-US" w:eastAsia="zh-CN"/>
              </w:rPr>
              <w:t>从事燃气经营的企业</w:t>
            </w:r>
          </w:p>
        </w:tc>
        <w:tc>
          <w:tcPr>
            <w:tcW w:w="4962" w:type="dxa"/>
            <w:vAlign w:val="center"/>
          </w:tcPr>
          <w:p w14:paraId="35F16C0B">
            <w:pPr>
              <w:keepNext w:val="0"/>
              <w:keepLines w:val="0"/>
              <w:pageBreakBefore w:val="0"/>
              <w:widowControl/>
              <w:kinsoku/>
              <w:wordWrap/>
              <w:overflowPunct/>
              <w:topLinePunct w:val="0"/>
              <w:autoSpaceDE w:val="0"/>
              <w:autoSpaceDN w:val="0"/>
              <w:bidi w:val="0"/>
              <w:adjustRightInd/>
              <w:snapToGrid/>
              <w:spacing w:line="260" w:lineRule="exact"/>
              <w:jc w:val="left"/>
              <w:textAlignment w:val="auto"/>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【行政法规】《城镇燃气管理条例》（国务院令第583号）</w:t>
            </w:r>
          </w:p>
          <w:p w14:paraId="1653EAFE">
            <w:pPr>
              <w:keepNext w:val="0"/>
              <w:keepLines w:val="0"/>
              <w:pageBreakBefore w:val="0"/>
              <w:widowControl/>
              <w:kinsoku/>
              <w:wordWrap/>
              <w:overflowPunct/>
              <w:topLinePunct w:val="0"/>
              <w:autoSpaceDE w:val="0"/>
              <w:autoSpaceDN w:val="0"/>
              <w:bidi w:val="0"/>
              <w:adjustRightInd/>
              <w:snapToGrid/>
              <w:spacing w:line="260" w:lineRule="exact"/>
              <w:ind w:firstLine="420" w:firstLineChars="200"/>
              <w:jc w:val="left"/>
              <w:textAlignment w:val="auto"/>
              <w:rPr>
                <w:rFonts w:hint="eastAsia"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 xml:space="preserve">第十八条  燃气经营者不得有下列行为： </w:t>
            </w:r>
          </w:p>
          <w:p w14:paraId="65790A7D">
            <w:pPr>
              <w:keepNext w:val="0"/>
              <w:keepLines w:val="0"/>
              <w:pageBreakBefore w:val="0"/>
              <w:widowControl/>
              <w:kinsoku/>
              <w:wordWrap/>
              <w:overflowPunct/>
              <w:topLinePunct w:val="0"/>
              <w:autoSpaceDE w:val="0"/>
              <w:autoSpaceDN w:val="0"/>
              <w:bidi w:val="0"/>
              <w:adjustRightInd/>
              <w:snapToGrid/>
              <w:spacing w:line="260" w:lineRule="exact"/>
              <w:ind w:firstLine="420" w:firstLineChars="200"/>
              <w:jc w:val="left"/>
              <w:textAlignment w:val="auto"/>
              <w:rPr>
                <w:rFonts w:hint="eastAsia"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（四）向未取得燃气经营许可证的单位或者个人提供用于经营的燃气；</w:t>
            </w:r>
          </w:p>
          <w:p w14:paraId="337952B3">
            <w:pPr>
              <w:keepNext w:val="0"/>
              <w:keepLines w:val="0"/>
              <w:pageBreakBefore w:val="0"/>
              <w:widowControl/>
              <w:kinsoku/>
              <w:wordWrap/>
              <w:overflowPunct/>
              <w:topLinePunct w:val="0"/>
              <w:autoSpaceDE w:val="0"/>
              <w:autoSpaceDN w:val="0"/>
              <w:bidi w:val="0"/>
              <w:adjustRightInd/>
              <w:snapToGrid/>
              <w:spacing w:line="260" w:lineRule="exact"/>
              <w:ind w:firstLine="420" w:firstLineChars="200"/>
              <w:jc w:val="left"/>
              <w:textAlignment w:val="auto"/>
              <w:rPr>
                <w:rFonts w:hint="eastAsia"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第四十六条  违反本条例规定，燃气经营者有下列行为之一的，由燃气管理部门责令限期改正，处1万元以上10万元以下罚款；有违法所得的，没收违法所得；情节严重的，吊销燃气经营许可证；造成损失的，依法承担赔偿责任；构成犯罪的，依法追究刑事责任：</w:t>
            </w:r>
          </w:p>
          <w:p w14:paraId="1499395A">
            <w:pPr>
              <w:keepNext w:val="0"/>
              <w:keepLines w:val="0"/>
              <w:pageBreakBefore w:val="0"/>
              <w:widowControl/>
              <w:kinsoku/>
              <w:wordWrap/>
              <w:overflowPunct/>
              <w:topLinePunct w:val="0"/>
              <w:autoSpaceDE w:val="0"/>
              <w:autoSpaceDN w:val="0"/>
              <w:bidi w:val="0"/>
              <w:adjustRightInd/>
              <w:snapToGrid/>
              <w:spacing w:line="260" w:lineRule="exact"/>
              <w:ind w:firstLine="420" w:firstLineChars="200"/>
              <w:jc w:val="left"/>
              <w:textAlignment w:val="auto"/>
              <w:rPr>
                <w:rFonts w:hint="eastAsia"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（四）向未取得燃气经营许可证的单位或者个人提供用于经营的燃气的；</w:t>
            </w:r>
          </w:p>
          <w:p w14:paraId="29061EB2">
            <w:pPr>
              <w:keepNext w:val="0"/>
              <w:keepLines w:val="0"/>
              <w:pageBreakBefore w:val="0"/>
              <w:widowControl/>
              <w:kinsoku/>
              <w:wordWrap/>
              <w:overflowPunct/>
              <w:topLinePunct w:val="0"/>
              <w:autoSpaceDE w:val="0"/>
              <w:autoSpaceDN w:val="0"/>
              <w:bidi w:val="0"/>
              <w:adjustRightInd/>
              <w:snapToGrid/>
              <w:spacing w:line="260" w:lineRule="exact"/>
              <w:jc w:val="left"/>
              <w:textAlignment w:val="auto"/>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【地方性法规】《江苏省燃气管理条例》</w:t>
            </w:r>
          </w:p>
          <w:p w14:paraId="2FAFC409">
            <w:pPr>
              <w:keepNext w:val="0"/>
              <w:keepLines w:val="0"/>
              <w:pageBreakBefore w:val="0"/>
              <w:widowControl/>
              <w:kinsoku/>
              <w:wordWrap/>
              <w:overflowPunct/>
              <w:topLinePunct w:val="0"/>
              <w:autoSpaceDE w:val="0"/>
              <w:autoSpaceDN w:val="0"/>
              <w:bidi w:val="0"/>
              <w:adjustRightInd/>
              <w:snapToGrid/>
              <w:spacing w:line="260" w:lineRule="exact"/>
              <w:ind w:firstLine="420" w:firstLineChars="200"/>
              <w:jc w:val="left"/>
              <w:textAlignment w:val="auto"/>
              <w:rPr>
                <w:rFonts w:hint="eastAsia"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第二十七条第四款  禁止向未取得燃气经营许可证或者供应许可证的单位或者个人供应用于经营的燃气。</w:t>
            </w:r>
          </w:p>
          <w:p w14:paraId="6F6EEBCD">
            <w:pPr>
              <w:keepNext w:val="0"/>
              <w:keepLines w:val="0"/>
              <w:pageBreakBefore w:val="0"/>
              <w:widowControl/>
              <w:kinsoku/>
              <w:wordWrap/>
              <w:overflowPunct/>
              <w:topLinePunct w:val="0"/>
              <w:autoSpaceDE w:val="0"/>
              <w:autoSpaceDN w:val="0"/>
              <w:bidi w:val="0"/>
              <w:adjustRightInd/>
              <w:snapToGrid/>
              <w:spacing w:line="260" w:lineRule="exact"/>
              <w:ind w:firstLine="420" w:firstLineChars="200"/>
              <w:jc w:val="left"/>
              <w:textAlignment w:val="auto"/>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第六十二条  违反本条例第二十七条第四款规定，由燃气主管部门责令改正，处一万元以上十万元以下罚款；有违法所得的，没收违法所得；情节严重的，吊销燃气经营许可证或者燃气供应许可证。</w:t>
            </w:r>
          </w:p>
        </w:tc>
        <w:tc>
          <w:tcPr>
            <w:tcW w:w="992" w:type="dxa"/>
            <w:vAlign w:val="center"/>
          </w:tcPr>
          <w:p w14:paraId="0FBA92BE">
            <w:pPr>
              <w:widowControl/>
              <w:autoSpaceDE w:val="0"/>
              <w:autoSpaceDN w:val="0"/>
              <w:spacing w:line="280" w:lineRule="exact"/>
              <w:jc w:val="left"/>
              <w:rPr>
                <w:rFonts w:ascii="Times New Roman" w:hAnsi="Times New Roman" w:eastAsia="仿宋_GB2312"/>
                <w:color w:val="auto"/>
                <w:szCs w:val="21"/>
              </w:rPr>
            </w:pPr>
            <w:r>
              <w:rPr>
                <w:rFonts w:hint="eastAsia" w:ascii="Times New Roman" w:hAnsi="Times New Roman" w:eastAsia="仿宋_GB2312" w:cs="方正仿宋_GBK"/>
                <w:color w:val="auto"/>
                <w:szCs w:val="21"/>
              </w:rPr>
              <w:t>现场检查、书面检查</w:t>
            </w:r>
          </w:p>
        </w:tc>
        <w:tc>
          <w:tcPr>
            <w:tcW w:w="1139" w:type="dxa"/>
            <w:vAlign w:val="center"/>
          </w:tcPr>
          <w:p w14:paraId="688FC031">
            <w:pPr>
              <w:widowControl/>
              <w:autoSpaceDE w:val="0"/>
              <w:autoSpaceDN w:val="0"/>
              <w:spacing w:line="280" w:lineRule="exact"/>
              <w:jc w:val="center"/>
              <w:rPr>
                <w:rFonts w:ascii="Times New Roman" w:hAnsi="Times New Roman" w:eastAsia="仿宋_GB2312"/>
                <w:color w:val="auto"/>
                <w:szCs w:val="21"/>
              </w:rPr>
            </w:pPr>
            <w:r>
              <w:rPr>
                <w:rFonts w:hint="eastAsia" w:ascii="Times New Roman" w:hAnsi="Times New Roman" w:eastAsia="仿宋_GB2312" w:cs="方正仿宋_GBK"/>
                <w:color w:val="auto"/>
                <w:szCs w:val="21"/>
              </w:rPr>
              <w:t>双随机+重点检查</w:t>
            </w:r>
          </w:p>
        </w:tc>
        <w:tc>
          <w:tcPr>
            <w:tcW w:w="1491" w:type="dxa"/>
            <w:shd w:val="clear" w:color="auto" w:fill="auto"/>
            <w:vAlign w:val="center"/>
          </w:tcPr>
          <w:p w14:paraId="271BC10F">
            <w:pPr>
              <w:widowControl/>
              <w:autoSpaceDE w:val="0"/>
              <w:autoSpaceDN w:val="0"/>
              <w:spacing w:line="280" w:lineRule="exact"/>
              <w:jc w:val="left"/>
              <w:rPr>
                <w:rFonts w:hint="eastAsia" w:ascii="Times New Roman" w:hAnsi="Times New Roman" w:eastAsia="仿宋_GB2312" w:cs="方正仿宋_GBK"/>
                <w:color w:val="auto"/>
                <w:kern w:val="2"/>
                <w:sz w:val="21"/>
                <w:szCs w:val="21"/>
                <w:lang w:val="en-US" w:eastAsia="zh-CN" w:bidi="ar-SA"/>
              </w:rPr>
            </w:pPr>
            <w:r>
              <w:rPr>
                <w:rFonts w:hint="eastAsia" w:ascii="Times New Roman" w:hAnsi="Times New Roman" w:eastAsia="仿宋_GB2312" w:cs="方正仿宋_GBK"/>
                <w:color w:val="auto"/>
                <w:szCs w:val="21"/>
              </w:rPr>
              <w:t xml:space="preserve">320217085000 </w:t>
            </w:r>
          </w:p>
        </w:tc>
        <w:tc>
          <w:tcPr>
            <w:tcW w:w="1481" w:type="dxa"/>
            <w:shd w:val="clear" w:color="auto" w:fill="auto"/>
            <w:vAlign w:val="center"/>
          </w:tcPr>
          <w:p w14:paraId="004DD998">
            <w:pPr>
              <w:widowControl/>
              <w:autoSpaceDE w:val="0"/>
              <w:autoSpaceDN w:val="0"/>
              <w:spacing w:line="280" w:lineRule="exact"/>
              <w:jc w:val="left"/>
              <w:rPr>
                <w:rFonts w:hint="eastAsia" w:ascii="Times New Roman" w:hAnsi="Times New Roman" w:eastAsia="仿宋_GB2312" w:cs="方正仿宋_GBK"/>
                <w:color w:val="auto"/>
                <w:kern w:val="2"/>
                <w:sz w:val="21"/>
                <w:szCs w:val="21"/>
                <w:lang w:val="en-US" w:eastAsia="zh-CN" w:bidi="ar-SA"/>
              </w:rPr>
            </w:pPr>
            <w:r>
              <w:rPr>
                <w:rFonts w:hint="eastAsia" w:ascii="Times New Roman" w:hAnsi="Times New Roman" w:eastAsia="仿宋_GB2312" w:cs="方正仿宋_GBK"/>
                <w:color w:val="auto"/>
                <w:szCs w:val="21"/>
              </w:rPr>
              <w:t>对向未取得燃气经营许可证或者供应许可证的单位或者个人供应用于经营的燃气的处罚</w:t>
            </w:r>
          </w:p>
        </w:tc>
        <w:tc>
          <w:tcPr>
            <w:tcW w:w="622" w:type="dxa"/>
            <w:vAlign w:val="center"/>
          </w:tcPr>
          <w:p w14:paraId="3DB8234B">
            <w:pPr>
              <w:spacing w:line="280" w:lineRule="exact"/>
              <w:rPr>
                <w:rFonts w:ascii="Times New Roman" w:hAnsi="Times New Roman" w:eastAsia="仿宋_GB2312"/>
                <w:color w:val="auto"/>
                <w:kern w:val="0"/>
                <w:szCs w:val="21"/>
              </w:rPr>
            </w:pPr>
          </w:p>
        </w:tc>
      </w:tr>
      <w:tr w14:paraId="1EE57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6" w:hRule="atLeast"/>
          <w:jc w:val="center"/>
        </w:trPr>
        <w:tc>
          <w:tcPr>
            <w:tcW w:w="536" w:type="dxa"/>
            <w:vMerge w:val="continue"/>
            <w:vAlign w:val="center"/>
          </w:tcPr>
          <w:p w14:paraId="19729510">
            <w:pPr>
              <w:widowControl/>
              <w:autoSpaceDE w:val="0"/>
              <w:autoSpaceDN w:val="0"/>
              <w:spacing w:line="280" w:lineRule="exact"/>
              <w:jc w:val="left"/>
              <w:rPr>
                <w:rFonts w:hint="default" w:ascii="Times New Roman" w:hAnsi="Times New Roman" w:eastAsia="仿宋_GB2312" w:cs="方正仿宋_GBK"/>
                <w:color w:val="auto"/>
                <w:szCs w:val="21"/>
                <w:lang w:val="en-US" w:eastAsia="zh-CN"/>
              </w:rPr>
            </w:pPr>
          </w:p>
        </w:tc>
        <w:tc>
          <w:tcPr>
            <w:tcW w:w="1324" w:type="dxa"/>
            <w:vMerge w:val="continue"/>
            <w:vAlign w:val="center"/>
          </w:tcPr>
          <w:p w14:paraId="61076FF5">
            <w:pPr>
              <w:widowControl/>
              <w:autoSpaceDE w:val="0"/>
              <w:autoSpaceDN w:val="0"/>
              <w:spacing w:line="280" w:lineRule="exact"/>
              <w:jc w:val="left"/>
              <w:rPr>
                <w:rFonts w:hint="eastAsia" w:ascii="Times New Roman" w:hAnsi="Times New Roman" w:eastAsia="仿宋_GB2312" w:cs="方正仿宋_GBK"/>
                <w:color w:val="auto"/>
                <w:szCs w:val="21"/>
              </w:rPr>
            </w:pPr>
          </w:p>
        </w:tc>
        <w:tc>
          <w:tcPr>
            <w:tcW w:w="794" w:type="dxa"/>
            <w:vMerge w:val="continue"/>
            <w:vAlign w:val="center"/>
          </w:tcPr>
          <w:p w14:paraId="74BC0CBB">
            <w:pPr>
              <w:widowControl/>
              <w:autoSpaceDE w:val="0"/>
              <w:autoSpaceDN w:val="0"/>
              <w:spacing w:line="280" w:lineRule="exact"/>
              <w:jc w:val="center"/>
              <w:rPr>
                <w:rFonts w:hint="eastAsia" w:ascii="Times New Roman" w:hAnsi="Times New Roman" w:eastAsia="仿宋_GB2312" w:cs="方正仿宋_GBK"/>
                <w:color w:val="auto"/>
                <w:szCs w:val="21"/>
                <w:lang w:val="en-US" w:eastAsia="zh-CN"/>
              </w:rPr>
            </w:pPr>
          </w:p>
        </w:tc>
        <w:tc>
          <w:tcPr>
            <w:tcW w:w="872" w:type="dxa"/>
            <w:vMerge w:val="continue"/>
            <w:vAlign w:val="center"/>
          </w:tcPr>
          <w:p w14:paraId="2F1DED5F">
            <w:pPr>
              <w:widowControl/>
              <w:autoSpaceDE w:val="0"/>
              <w:autoSpaceDN w:val="0"/>
              <w:spacing w:line="280" w:lineRule="exact"/>
              <w:jc w:val="left"/>
              <w:rPr>
                <w:rFonts w:hint="eastAsia" w:ascii="Times New Roman" w:hAnsi="Times New Roman" w:eastAsia="仿宋_GB2312" w:cs="方正仿宋_GBK"/>
                <w:color w:val="auto"/>
                <w:szCs w:val="21"/>
                <w:lang w:val="en-US" w:eastAsia="zh-CN"/>
              </w:rPr>
            </w:pPr>
          </w:p>
        </w:tc>
        <w:tc>
          <w:tcPr>
            <w:tcW w:w="869" w:type="dxa"/>
            <w:vMerge w:val="continue"/>
            <w:vAlign w:val="center"/>
          </w:tcPr>
          <w:p w14:paraId="41B6E7B6">
            <w:pPr>
              <w:widowControl/>
              <w:autoSpaceDE w:val="0"/>
              <w:autoSpaceDN w:val="0"/>
              <w:spacing w:line="280" w:lineRule="exact"/>
              <w:jc w:val="left"/>
              <w:rPr>
                <w:rFonts w:hint="eastAsia" w:ascii="Times New Roman" w:hAnsi="Times New Roman" w:eastAsia="仿宋_GB2312" w:cs="方正仿宋_GBK"/>
                <w:color w:val="auto"/>
                <w:szCs w:val="21"/>
                <w:lang w:val="en-US" w:eastAsia="zh-CN"/>
              </w:rPr>
            </w:pPr>
          </w:p>
        </w:tc>
        <w:tc>
          <w:tcPr>
            <w:tcW w:w="4962" w:type="dxa"/>
            <w:shd w:val="clear" w:color="auto" w:fill="auto"/>
            <w:vAlign w:val="center"/>
          </w:tcPr>
          <w:p w14:paraId="4BBB2D5F">
            <w:pPr>
              <w:keepNext w:val="0"/>
              <w:keepLines w:val="0"/>
              <w:pageBreakBefore w:val="0"/>
              <w:widowControl/>
              <w:kinsoku/>
              <w:wordWrap/>
              <w:overflowPunct/>
              <w:topLinePunct w:val="0"/>
              <w:autoSpaceDE w:val="0"/>
              <w:autoSpaceDN w:val="0"/>
              <w:bidi w:val="0"/>
              <w:adjustRightInd/>
              <w:snapToGrid/>
              <w:spacing w:line="260" w:lineRule="exact"/>
              <w:jc w:val="left"/>
              <w:textAlignment w:val="auto"/>
              <w:rPr>
                <w:rFonts w:hint="eastAsia" w:ascii="Times New Roman" w:hAnsi="Times New Roman" w:eastAsia="仿宋_GB2312" w:cs="方正仿宋_GBK"/>
                <w:color w:val="auto"/>
                <w:szCs w:val="21"/>
                <w:lang w:val="en-US" w:eastAsia="zh-CN"/>
              </w:rPr>
            </w:pPr>
            <w:r>
              <w:rPr>
                <w:rFonts w:hint="eastAsia" w:ascii="Times New Roman" w:hAnsi="Times New Roman" w:eastAsia="仿宋_GB2312" w:cs="方正仿宋_GBK"/>
                <w:color w:val="auto"/>
                <w:szCs w:val="21"/>
                <w:lang w:val="en-US" w:eastAsia="zh-CN"/>
              </w:rPr>
              <w:t>【行政法规】《城镇燃气管理条例》（国务院令第583号）</w:t>
            </w:r>
          </w:p>
          <w:p w14:paraId="657FAFB8">
            <w:pPr>
              <w:keepNext w:val="0"/>
              <w:keepLines w:val="0"/>
              <w:pageBreakBefore w:val="0"/>
              <w:widowControl/>
              <w:kinsoku/>
              <w:wordWrap/>
              <w:overflowPunct/>
              <w:topLinePunct w:val="0"/>
              <w:autoSpaceDE w:val="0"/>
              <w:autoSpaceDN w:val="0"/>
              <w:bidi w:val="0"/>
              <w:adjustRightInd/>
              <w:snapToGrid/>
              <w:spacing w:line="260" w:lineRule="exact"/>
              <w:ind w:firstLine="420" w:firstLineChars="200"/>
              <w:jc w:val="left"/>
              <w:textAlignment w:val="auto"/>
              <w:rPr>
                <w:rFonts w:hint="eastAsia" w:ascii="Times New Roman" w:hAnsi="Times New Roman" w:eastAsia="仿宋_GB2312" w:cs="方正仿宋_GBK"/>
                <w:color w:val="auto"/>
                <w:szCs w:val="21"/>
                <w:lang w:val="en-US" w:eastAsia="zh-CN"/>
              </w:rPr>
            </w:pPr>
            <w:r>
              <w:rPr>
                <w:rFonts w:hint="eastAsia" w:ascii="Times New Roman" w:hAnsi="Times New Roman" w:eastAsia="仿宋_GB2312" w:cs="方正仿宋_GBK"/>
                <w:color w:val="auto"/>
                <w:szCs w:val="21"/>
                <w:lang w:val="en-US" w:eastAsia="zh-CN"/>
              </w:rPr>
              <w:t xml:space="preserve">第十八条  燃气经营者不得有下列行为： </w:t>
            </w:r>
          </w:p>
          <w:p w14:paraId="0C91E476">
            <w:pPr>
              <w:keepNext w:val="0"/>
              <w:keepLines w:val="0"/>
              <w:pageBreakBefore w:val="0"/>
              <w:widowControl/>
              <w:kinsoku/>
              <w:wordWrap/>
              <w:overflowPunct/>
              <w:topLinePunct w:val="0"/>
              <w:autoSpaceDE w:val="0"/>
              <w:autoSpaceDN w:val="0"/>
              <w:bidi w:val="0"/>
              <w:adjustRightInd/>
              <w:snapToGrid/>
              <w:spacing w:line="260" w:lineRule="exact"/>
              <w:ind w:firstLine="420" w:firstLineChars="200"/>
              <w:jc w:val="left"/>
              <w:textAlignment w:val="auto"/>
              <w:rPr>
                <w:rFonts w:hint="eastAsia" w:ascii="Times New Roman" w:hAnsi="Times New Roman" w:eastAsia="仿宋_GB2312" w:cs="方正仿宋_GBK"/>
                <w:color w:val="auto"/>
                <w:szCs w:val="21"/>
                <w:lang w:val="en-US" w:eastAsia="zh-CN"/>
              </w:rPr>
            </w:pPr>
            <w:r>
              <w:rPr>
                <w:rFonts w:hint="eastAsia" w:ascii="Times New Roman" w:hAnsi="Times New Roman" w:eastAsia="仿宋_GB2312" w:cs="方正仿宋_GBK"/>
                <w:color w:val="auto"/>
                <w:szCs w:val="21"/>
                <w:lang w:val="en-US" w:eastAsia="zh-CN"/>
              </w:rPr>
              <w:t>（五）在不具备安全条件的场所储存燃气。</w:t>
            </w:r>
          </w:p>
          <w:p w14:paraId="407A4771">
            <w:pPr>
              <w:keepNext w:val="0"/>
              <w:keepLines w:val="0"/>
              <w:pageBreakBefore w:val="0"/>
              <w:widowControl/>
              <w:kinsoku/>
              <w:wordWrap/>
              <w:overflowPunct/>
              <w:topLinePunct w:val="0"/>
              <w:autoSpaceDE w:val="0"/>
              <w:autoSpaceDN w:val="0"/>
              <w:bidi w:val="0"/>
              <w:adjustRightInd/>
              <w:snapToGrid/>
              <w:spacing w:line="260" w:lineRule="exact"/>
              <w:ind w:firstLine="420" w:firstLineChars="200"/>
              <w:jc w:val="left"/>
              <w:textAlignment w:val="auto"/>
              <w:rPr>
                <w:rFonts w:hint="eastAsia" w:ascii="Times New Roman" w:hAnsi="Times New Roman" w:eastAsia="仿宋_GB2312" w:cs="方正仿宋_GBK"/>
                <w:color w:val="auto"/>
                <w:szCs w:val="21"/>
                <w:lang w:val="en-US" w:eastAsia="zh-CN"/>
              </w:rPr>
            </w:pPr>
            <w:r>
              <w:rPr>
                <w:rFonts w:hint="eastAsia" w:ascii="Times New Roman" w:hAnsi="Times New Roman" w:eastAsia="仿宋_GB2312" w:cs="方正仿宋_GBK"/>
                <w:color w:val="auto"/>
                <w:szCs w:val="21"/>
                <w:lang w:val="en-US" w:eastAsia="zh-CN"/>
              </w:rPr>
              <w:t>第四十六条  违反本条例规定，燃</w:t>
            </w:r>
            <w:bookmarkStart w:id="1" w:name="_GoBack"/>
            <w:bookmarkEnd w:id="1"/>
            <w:r>
              <w:rPr>
                <w:rFonts w:hint="eastAsia" w:ascii="Times New Roman" w:hAnsi="Times New Roman" w:eastAsia="仿宋_GB2312" w:cs="方正仿宋_GBK"/>
                <w:color w:val="auto"/>
                <w:szCs w:val="21"/>
                <w:lang w:val="en-US" w:eastAsia="zh-CN"/>
              </w:rPr>
              <w:t>气经营者有下列行为之一的，由燃气管理部门责令限期改正，处1万元以上10万元以下罚款；有违法所得的，没收违法所得；情节严重的，吊销燃气经营许可证；造成损失的，依法承担赔偿责任；构成犯罪的，依法追究刑事责任：</w:t>
            </w:r>
          </w:p>
          <w:p w14:paraId="644B98DC">
            <w:pPr>
              <w:keepNext w:val="0"/>
              <w:keepLines w:val="0"/>
              <w:pageBreakBefore w:val="0"/>
              <w:widowControl/>
              <w:kinsoku/>
              <w:wordWrap/>
              <w:overflowPunct/>
              <w:topLinePunct w:val="0"/>
              <w:autoSpaceDE w:val="0"/>
              <w:autoSpaceDN w:val="0"/>
              <w:bidi w:val="0"/>
              <w:adjustRightInd/>
              <w:snapToGrid/>
              <w:spacing w:line="260" w:lineRule="exact"/>
              <w:ind w:firstLine="420" w:firstLineChars="200"/>
              <w:jc w:val="left"/>
              <w:textAlignment w:val="auto"/>
              <w:rPr>
                <w:rFonts w:hint="eastAsia" w:ascii="Calibri" w:hAnsi="Calibri" w:eastAsia="宋体" w:cs="Times New Roman"/>
                <w:color w:val="auto"/>
                <w:kern w:val="2"/>
                <w:sz w:val="21"/>
                <w:szCs w:val="24"/>
                <w:lang w:val="en-US" w:eastAsia="zh-CN" w:bidi="ar-SA"/>
              </w:rPr>
            </w:pPr>
            <w:r>
              <w:rPr>
                <w:rFonts w:hint="eastAsia" w:ascii="Times New Roman" w:hAnsi="Times New Roman" w:eastAsia="仿宋_GB2312" w:cs="方正仿宋_GBK"/>
                <w:color w:val="auto"/>
                <w:szCs w:val="21"/>
                <w:lang w:val="en-US" w:eastAsia="zh-CN"/>
              </w:rPr>
              <w:t>（五）在不具备安全条件的场所储存燃气的；</w:t>
            </w:r>
          </w:p>
        </w:tc>
        <w:tc>
          <w:tcPr>
            <w:tcW w:w="992" w:type="dxa"/>
            <w:shd w:val="clear" w:color="auto" w:fill="auto"/>
            <w:vAlign w:val="center"/>
          </w:tcPr>
          <w:p w14:paraId="64420172">
            <w:pPr>
              <w:widowControl/>
              <w:autoSpaceDE w:val="0"/>
              <w:autoSpaceDN w:val="0"/>
              <w:spacing w:line="280" w:lineRule="exact"/>
              <w:jc w:val="center"/>
              <w:rPr>
                <w:rFonts w:hint="eastAsia"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现场</w:t>
            </w:r>
          </w:p>
          <w:p w14:paraId="096B844D">
            <w:pPr>
              <w:widowControl/>
              <w:autoSpaceDE w:val="0"/>
              <w:autoSpaceDN w:val="0"/>
              <w:spacing w:line="280" w:lineRule="exact"/>
              <w:jc w:val="center"/>
              <w:rPr>
                <w:rFonts w:hint="eastAsia" w:ascii="Times New Roman" w:hAnsi="Times New Roman" w:eastAsia="仿宋_GB2312" w:cs="方正仿宋_GBK"/>
                <w:color w:val="auto"/>
                <w:kern w:val="2"/>
                <w:sz w:val="21"/>
                <w:szCs w:val="21"/>
                <w:lang w:val="en-US" w:eastAsia="zh-CN" w:bidi="ar-SA"/>
              </w:rPr>
            </w:pPr>
            <w:r>
              <w:rPr>
                <w:rFonts w:hint="eastAsia" w:ascii="Times New Roman" w:hAnsi="Times New Roman" w:eastAsia="仿宋_GB2312" w:cs="方正仿宋_GBK"/>
                <w:color w:val="auto"/>
                <w:szCs w:val="21"/>
              </w:rPr>
              <w:t>检查</w:t>
            </w:r>
          </w:p>
        </w:tc>
        <w:tc>
          <w:tcPr>
            <w:tcW w:w="1139" w:type="dxa"/>
            <w:shd w:val="clear" w:color="auto" w:fill="auto"/>
            <w:vAlign w:val="center"/>
          </w:tcPr>
          <w:p w14:paraId="5960ADD1">
            <w:pPr>
              <w:widowControl/>
              <w:autoSpaceDE w:val="0"/>
              <w:autoSpaceDN w:val="0"/>
              <w:spacing w:line="280" w:lineRule="exact"/>
              <w:jc w:val="center"/>
              <w:rPr>
                <w:rFonts w:hint="eastAsia" w:ascii="Times New Roman" w:hAnsi="Times New Roman" w:eastAsia="仿宋_GB2312" w:cs="Times New Roman"/>
                <w:color w:val="auto"/>
                <w:kern w:val="2"/>
                <w:sz w:val="21"/>
                <w:szCs w:val="21"/>
                <w:lang w:val="en-US" w:eastAsia="zh-CN" w:bidi="ar-SA"/>
              </w:rPr>
            </w:pPr>
            <w:r>
              <w:rPr>
                <w:rFonts w:hint="eastAsia" w:ascii="Times New Roman" w:hAnsi="Times New Roman" w:eastAsia="仿宋_GB2312" w:cs="方正仿宋_GBK"/>
                <w:color w:val="auto"/>
                <w:szCs w:val="21"/>
              </w:rPr>
              <w:t>双随机+重点检查</w:t>
            </w:r>
          </w:p>
        </w:tc>
        <w:tc>
          <w:tcPr>
            <w:tcW w:w="1491" w:type="dxa"/>
            <w:shd w:val="clear" w:color="auto" w:fill="auto"/>
            <w:vAlign w:val="center"/>
          </w:tcPr>
          <w:p w14:paraId="54C1EDF3">
            <w:pPr>
              <w:widowControl/>
              <w:autoSpaceDE w:val="0"/>
              <w:autoSpaceDN w:val="0"/>
              <w:spacing w:line="280" w:lineRule="exact"/>
              <w:jc w:val="left"/>
              <w:rPr>
                <w:rFonts w:hint="eastAsia" w:ascii="Times New Roman" w:hAnsi="Times New Roman" w:eastAsia="仿宋_GB2312" w:cs="方正仿宋_GBK"/>
                <w:color w:val="auto"/>
                <w:kern w:val="2"/>
                <w:sz w:val="21"/>
                <w:szCs w:val="21"/>
                <w:lang w:val="en-US" w:eastAsia="zh-CN" w:bidi="ar-SA"/>
              </w:rPr>
            </w:pPr>
            <w:r>
              <w:rPr>
                <w:rFonts w:hint="eastAsia" w:ascii="Times New Roman" w:hAnsi="Times New Roman" w:eastAsia="仿宋_GB2312" w:cs="方正仿宋_GBK"/>
                <w:color w:val="auto"/>
                <w:szCs w:val="21"/>
              </w:rPr>
              <w:t xml:space="preserve">320217086000 </w:t>
            </w:r>
          </w:p>
        </w:tc>
        <w:tc>
          <w:tcPr>
            <w:tcW w:w="1481" w:type="dxa"/>
            <w:shd w:val="clear" w:color="auto" w:fill="auto"/>
            <w:vAlign w:val="center"/>
          </w:tcPr>
          <w:p w14:paraId="3CF4F998">
            <w:pPr>
              <w:widowControl/>
              <w:autoSpaceDE w:val="0"/>
              <w:autoSpaceDN w:val="0"/>
              <w:spacing w:line="280" w:lineRule="exact"/>
              <w:jc w:val="left"/>
              <w:rPr>
                <w:rFonts w:hint="eastAsia" w:ascii="Times New Roman" w:hAnsi="Times New Roman" w:eastAsia="仿宋_GB2312" w:cs="方正仿宋_GBK"/>
                <w:color w:val="auto"/>
                <w:kern w:val="2"/>
                <w:sz w:val="21"/>
                <w:szCs w:val="21"/>
                <w:lang w:val="en-US" w:eastAsia="zh-CN" w:bidi="ar-SA"/>
              </w:rPr>
            </w:pPr>
            <w:r>
              <w:rPr>
                <w:rFonts w:hint="eastAsia" w:ascii="Times New Roman" w:hAnsi="Times New Roman" w:eastAsia="仿宋_GB2312" w:cs="方正仿宋_GBK"/>
                <w:color w:val="auto"/>
                <w:szCs w:val="21"/>
              </w:rPr>
              <w:t>对燃气经营者在不具备安全条件的场所储存燃气的处罚</w:t>
            </w:r>
          </w:p>
        </w:tc>
        <w:tc>
          <w:tcPr>
            <w:tcW w:w="622" w:type="dxa"/>
            <w:vAlign w:val="center"/>
          </w:tcPr>
          <w:p w14:paraId="5C2F0DDD">
            <w:pPr>
              <w:spacing w:line="280" w:lineRule="exact"/>
              <w:rPr>
                <w:rFonts w:ascii="Times New Roman" w:hAnsi="Times New Roman" w:eastAsia="仿宋_GB2312"/>
                <w:color w:val="auto"/>
                <w:kern w:val="0"/>
                <w:szCs w:val="21"/>
              </w:rPr>
            </w:pPr>
          </w:p>
        </w:tc>
      </w:tr>
      <w:tr w14:paraId="63095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6" w:hRule="atLeast"/>
          <w:jc w:val="center"/>
        </w:trPr>
        <w:tc>
          <w:tcPr>
            <w:tcW w:w="536" w:type="dxa"/>
            <w:vAlign w:val="center"/>
          </w:tcPr>
          <w:p w14:paraId="1FF81CC8">
            <w:pPr>
              <w:widowControl/>
              <w:autoSpaceDE w:val="0"/>
              <w:autoSpaceDN w:val="0"/>
              <w:spacing w:line="280" w:lineRule="exact"/>
              <w:jc w:val="center"/>
              <w:rPr>
                <w:rFonts w:ascii="Times New Roman" w:hAnsi="Times New Roman" w:eastAsia="仿宋_GB2312" w:cs="方正仿宋_GBK"/>
                <w:color w:val="auto"/>
                <w:szCs w:val="21"/>
              </w:rPr>
            </w:pPr>
            <w:r>
              <w:rPr>
                <w:rFonts w:hint="eastAsia" w:ascii="Times New Roman" w:hAnsi="Times New Roman" w:eastAsia="仿宋_GB2312" w:cs="方正仿宋_GBK"/>
                <w:color w:val="auto"/>
                <w:szCs w:val="21"/>
                <w:lang w:val="en-US" w:eastAsia="zh-CN"/>
              </w:rPr>
              <w:t>18</w:t>
            </w:r>
          </w:p>
        </w:tc>
        <w:tc>
          <w:tcPr>
            <w:tcW w:w="1324" w:type="dxa"/>
            <w:vAlign w:val="center"/>
          </w:tcPr>
          <w:p w14:paraId="3A4CE99B">
            <w:pPr>
              <w:widowControl/>
              <w:autoSpaceDE w:val="0"/>
              <w:autoSpaceDN w:val="0"/>
              <w:spacing w:line="280" w:lineRule="exact"/>
              <w:jc w:val="left"/>
              <w:rPr>
                <w:rFonts w:hint="eastAsia"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对燃气经营者</w:t>
            </w:r>
            <w:r>
              <w:rPr>
                <w:rFonts w:hint="eastAsia" w:ascii="Times New Roman" w:hAnsi="Times New Roman" w:eastAsia="仿宋_GB2312" w:cs="方正仿宋_GBK"/>
                <w:color w:val="auto"/>
                <w:szCs w:val="21"/>
                <w:lang w:val="en-US" w:eastAsia="zh-CN"/>
              </w:rPr>
              <w:t>的行政检查</w:t>
            </w:r>
          </w:p>
        </w:tc>
        <w:tc>
          <w:tcPr>
            <w:tcW w:w="794" w:type="dxa"/>
            <w:vAlign w:val="center"/>
          </w:tcPr>
          <w:p w14:paraId="52D9C5D3">
            <w:pPr>
              <w:widowControl/>
              <w:autoSpaceDE w:val="0"/>
              <w:autoSpaceDN w:val="0"/>
              <w:spacing w:line="280" w:lineRule="exact"/>
              <w:jc w:val="center"/>
              <w:rPr>
                <w:rFonts w:hint="eastAsia" w:ascii="Times New Roman" w:hAnsi="Times New Roman" w:eastAsia="仿宋_GB2312" w:cs="方正仿宋_GBK"/>
                <w:color w:val="auto"/>
                <w:szCs w:val="21"/>
                <w:lang w:val="en-US" w:eastAsia="zh-CN"/>
              </w:rPr>
            </w:pPr>
            <w:r>
              <w:rPr>
                <w:rFonts w:hint="eastAsia" w:ascii="Times New Roman" w:hAnsi="Times New Roman" w:eastAsia="仿宋_GB2312" w:cs="方正仿宋_GBK"/>
                <w:color w:val="auto"/>
                <w:szCs w:val="21"/>
                <w:lang w:val="en-US" w:eastAsia="zh-CN"/>
              </w:rPr>
              <w:t>苏州市相城区住房和城乡建设局</w:t>
            </w:r>
          </w:p>
        </w:tc>
        <w:tc>
          <w:tcPr>
            <w:tcW w:w="872" w:type="dxa"/>
            <w:vAlign w:val="center"/>
          </w:tcPr>
          <w:p w14:paraId="084FEC4D">
            <w:pPr>
              <w:widowControl/>
              <w:autoSpaceDE w:val="0"/>
              <w:autoSpaceDN w:val="0"/>
              <w:spacing w:line="280" w:lineRule="exact"/>
              <w:jc w:val="left"/>
              <w:rPr>
                <w:rFonts w:hint="eastAsia" w:ascii="Times New Roman" w:hAnsi="Times New Roman" w:eastAsia="仿宋_GB2312" w:cs="方正仿宋_GBK"/>
                <w:color w:val="auto"/>
                <w:szCs w:val="21"/>
                <w:lang w:val="en-US" w:eastAsia="zh-CN"/>
              </w:rPr>
            </w:pPr>
            <w:r>
              <w:rPr>
                <w:rFonts w:hint="eastAsia" w:ascii="Times New Roman" w:hAnsi="Times New Roman" w:eastAsia="仿宋_GB2312" w:cs="方正仿宋_GBK"/>
                <w:color w:val="auto"/>
                <w:szCs w:val="21"/>
                <w:lang w:val="en-US" w:eastAsia="zh-CN"/>
              </w:rPr>
              <w:t>建设工程管理科</w:t>
            </w:r>
          </w:p>
        </w:tc>
        <w:tc>
          <w:tcPr>
            <w:tcW w:w="869" w:type="dxa"/>
            <w:vAlign w:val="center"/>
          </w:tcPr>
          <w:p w14:paraId="40B8D040">
            <w:pPr>
              <w:widowControl/>
              <w:autoSpaceDE w:val="0"/>
              <w:autoSpaceDN w:val="0"/>
              <w:spacing w:line="280" w:lineRule="exact"/>
              <w:jc w:val="left"/>
              <w:rPr>
                <w:rFonts w:hint="eastAsia" w:ascii="Times New Roman" w:hAnsi="Times New Roman" w:eastAsia="仿宋_GB2312" w:cs="方正仿宋_GBK"/>
                <w:color w:val="auto"/>
                <w:szCs w:val="21"/>
                <w:lang w:val="en-US" w:eastAsia="zh-CN"/>
              </w:rPr>
            </w:pPr>
            <w:r>
              <w:rPr>
                <w:rFonts w:hint="eastAsia" w:ascii="Times New Roman" w:hAnsi="Times New Roman" w:eastAsia="仿宋_GB2312" w:cs="方正仿宋_GBK"/>
                <w:color w:val="auto"/>
                <w:szCs w:val="21"/>
                <w:lang w:val="en-US" w:eastAsia="zh-CN"/>
              </w:rPr>
              <w:t>从事燃气经营的企业</w:t>
            </w:r>
          </w:p>
        </w:tc>
        <w:tc>
          <w:tcPr>
            <w:tcW w:w="4962" w:type="dxa"/>
            <w:shd w:val="clear" w:color="auto" w:fill="auto"/>
            <w:vAlign w:val="center"/>
          </w:tcPr>
          <w:p w14:paraId="7C49E345">
            <w:pPr>
              <w:keepNext w:val="0"/>
              <w:keepLines w:val="0"/>
              <w:pageBreakBefore w:val="0"/>
              <w:widowControl/>
              <w:kinsoku/>
              <w:wordWrap/>
              <w:overflowPunct/>
              <w:topLinePunct w:val="0"/>
              <w:autoSpaceDE w:val="0"/>
              <w:autoSpaceDN w:val="0"/>
              <w:bidi w:val="0"/>
              <w:adjustRightInd/>
              <w:snapToGrid/>
              <w:spacing w:line="240" w:lineRule="exact"/>
              <w:jc w:val="left"/>
              <w:textAlignment w:val="auto"/>
              <w:rPr>
                <w:rFonts w:hint="eastAsia" w:ascii="Times New Roman" w:hAnsi="Times New Roman" w:eastAsia="仿宋_GB2312" w:cs="方正仿宋_GBK"/>
                <w:color w:val="auto"/>
                <w:kern w:val="2"/>
                <w:sz w:val="21"/>
                <w:szCs w:val="21"/>
                <w:lang w:val="en-US" w:eastAsia="zh-CN" w:bidi="ar-SA"/>
              </w:rPr>
            </w:pPr>
            <w:r>
              <w:rPr>
                <w:rFonts w:hint="eastAsia" w:ascii="Times New Roman" w:hAnsi="Times New Roman" w:eastAsia="仿宋_GB2312" w:cs="方正仿宋_GBK"/>
                <w:color w:val="auto"/>
                <w:kern w:val="2"/>
                <w:sz w:val="21"/>
                <w:szCs w:val="21"/>
                <w:lang w:val="en-US" w:eastAsia="zh-CN" w:bidi="ar-SA"/>
              </w:rPr>
              <w:t>【地方性法规】《江苏省燃气管理条例》（江苏省第十三届人民代表大会常务委员会第十三次会议于2020年1月9日通过，江苏省人大常委会公告第 28 号）</w:t>
            </w:r>
          </w:p>
          <w:p w14:paraId="03CE1DCB">
            <w:pPr>
              <w:keepNext w:val="0"/>
              <w:keepLines w:val="0"/>
              <w:pageBreakBefore w:val="0"/>
              <w:widowControl/>
              <w:kinsoku/>
              <w:wordWrap/>
              <w:overflowPunct/>
              <w:topLinePunct w:val="0"/>
              <w:autoSpaceDE w:val="0"/>
              <w:autoSpaceDN w:val="0"/>
              <w:bidi w:val="0"/>
              <w:adjustRightInd/>
              <w:snapToGrid/>
              <w:spacing w:line="240" w:lineRule="exact"/>
              <w:ind w:firstLine="420" w:firstLineChars="200"/>
              <w:jc w:val="left"/>
              <w:textAlignment w:val="auto"/>
              <w:rPr>
                <w:rFonts w:hint="eastAsia" w:ascii="Times New Roman" w:hAnsi="Times New Roman" w:eastAsia="仿宋_GB2312" w:cs="方正仿宋_GBK"/>
                <w:color w:val="auto"/>
                <w:kern w:val="2"/>
                <w:sz w:val="21"/>
                <w:szCs w:val="21"/>
                <w:lang w:val="en-US" w:eastAsia="zh-CN" w:bidi="ar-SA"/>
              </w:rPr>
            </w:pPr>
            <w:r>
              <w:rPr>
                <w:rFonts w:hint="eastAsia" w:ascii="Times New Roman" w:hAnsi="Times New Roman" w:eastAsia="仿宋_GB2312" w:cs="方正仿宋_GBK"/>
                <w:color w:val="auto"/>
                <w:kern w:val="2"/>
                <w:sz w:val="21"/>
                <w:szCs w:val="21"/>
                <w:lang w:val="en-US" w:eastAsia="zh-CN" w:bidi="ar-SA"/>
              </w:rPr>
              <w:t>第二十三条  瓶装燃气经营者应当遵守下列规定：</w:t>
            </w:r>
          </w:p>
          <w:p w14:paraId="3E6090B4">
            <w:pPr>
              <w:keepNext w:val="0"/>
              <w:keepLines w:val="0"/>
              <w:pageBreakBefore w:val="0"/>
              <w:widowControl/>
              <w:kinsoku/>
              <w:wordWrap/>
              <w:overflowPunct/>
              <w:topLinePunct w:val="0"/>
              <w:autoSpaceDE w:val="0"/>
              <w:autoSpaceDN w:val="0"/>
              <w:bidi w:val="0"/>
              <w:adjustRightInd/>
              <w:snapToGrid/>
              <w:spacing w:line="240" w:lineRule="exact"/>
              <w:ind w:firstLine="420" w:firstLineChars="200"/>
              <w:jc w:val="left"/>
              <w:textAlignment w:val="auto"/>
              <w:rPr>
                <w:rFonts w:hint="eastAsia" w:ascii="Times New Roman" w:hAnsi="Times New Roman" w:eastAsia="仿宋_GB2312" w:cs="方正仿宋_GBK"/>
                <w:color w:val="auto"/>
                <w:kern w:val="2"/>
                <w:sz w:val="21"/>
                <w:szCs w:val="21"/>
                <w:lang w:val="en-US" w:eastAsia="zh-CN" w:bidi="ar-SA"/>
              </w:rPr>
            </w:pPr>
            <w:r>
              <w:rPr>
                <w:rFonts w:hint="eastAsia" w:ascii="Times New Roman" w:hAnsi="Times New Roman" w:eastAsia="仿宋_GB2312" w:cs="方正仿宋_GBK"/>
                <w:color w:val="auto"/>
                <w:kern w:val="2"/>
                <w:sz w:val="21"/>
                <w:szCs w:val="21"/>
                <w:lang w:val="en-US" w:eastAsia="zh-CN" w:bidi="ar-SA"/>
              </w:rPr>
              <w:t>（四）不得向未签订供用气合同的用户提供瓶装燃气，不得向餐饮用户提供气液两相瓶装燃气；</w:t>
            </w:r>
          </w:p>
          <w:p w14:paraId="35D64F9C">
            <w:pPr>
              <w:keepNext w:val="0"/>
              <w:keepLines w:val="0"/>
              <w:pageBreakBefore w:val="0"/>
              <w:widowControl/>
              <w:kinsoku/>
              <w:wordWrap/>
              <w:overflowPunct/>
              <w:topLinePunct w:val="0"/>
              <w:autoSpaceDE w:val="0"/>
              <w:autoSpaceDN w:val="0"/>
              <w:bidi w:val="0"/>
              <w:adjustRightInd/>
              <w:snapToGrid/>
              <w:spacing w:line="240" w:lineRule="exact"/>
              <w:ind w:firstLine="420" w:firstLineChars="200"/>
              <w:jc w:val="left"/>
              <w:textAlignment w:val="auto"/>
              <w:rPr>
                <w:rFonts w:hint="eastAsia" w:ascii="Calibri" w:hAnsi="Calibri" w:eastAsia="宋体" w:cs="Times New Roman"/>
                <w:color w:val="auto"/>
                <w:kern w:val="2"/>
                <w:sz w:val="21"/>
                <w:szCs w:val="24"/>
                <w:lang w:val="en-US" w:eastAsia="zh-CN" w:bidi="ar-SA"/>
              </w:rPr>
            </w:pPr>
            <w:r>
              <w:rPr>
                <w:rFonts w:hint="eastAsia" w:ascii="Times New Roman" w:hAnsi="Times New Roman" w:eastAsia="仿宋_GB2312" w:cs="方正仿宋_GBK"/>
                <w:color w:val="auto"/>
                <w:kern w:val="2"/>
                <w:sz w:val="21"/>
                <w:szCs w:val="21"/>
                <w:lang w:val="en-US" w:eastAsia="zh-CN" w:bidi="ar-SA"/>
              </w:rPr>
              <w:t>第六十一条第二款　违反本条例第二十三条第三项至第六项规定，由燃气主管部门责令限期改正，处一万元以上十万元以下罚款。</w:t>
            </w:r>
          </w:p>
        </w:tc>
        <w:tc>
          <w:tcPr>
            <w:tcW w:w="992" w:type="dxa"/>
            <w:shd w:val="clear" w:color="auto" w:fill="auto"/>
            <w:vAlign w:val="center"/>
          </w:tcPr>
          <w:p w14:paraId="08390161">
            <w:pPr>
              <w:widowControl/>
              <w:autoSpaceDE w:val="0"/>
              <w:autoSpaceDN w:val="0"/>
              <w:spacing w:line="280" w:lineRule="exact"/>
              <w:jc w:val="center"/>
              <w:rPr>
                <w:rFonts w:hint="eastAsia"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现场</w:t>
            </w:r>
          </w:p>
          <w:p w14:paraId="2C2CA5A5">
            <w:pPr>
              <w:widowControl/>
              <w:autoSpaceDE w:val="0"/>
              <w:autoSpaceDN w:val="0"/>
              <w:spacing w:line="280" w:lineRule="exact"/>
              <w:jc w:val="center"/>
              <w:rPr>
                <w:rFonts w:hint="eastAsia" w:ascii="Times New Roman" w:hAnsi="Times New Roman" w:eastAsia="仿宋_GB2312" w:cs="方正仿宋_GBK"/>
                <w:color w:val="auto"/>
                <w:kern w:val="2"/>
                <w:sz w:val="21"/>
                <w:szCs w:val="21"/>
                <w:lang w:val="en-US" w:eastAsia="zh-CN" w:bidi="ar-SA"/>
              </w:rPr>
            </w:pPr>
            <w:r>
              <w:rPr>
                <w:rFonts w:hint="eastAsia" w:ascii="Times New Roman" w:hAnsi="Times New Roman" w:eastAsia="仿宋_GB2312" w:cs="方正仿宋_GBK"/>
                <w:color w:val="auto"/>
                <w:szCs w:val="21"/>
              </w:rPr>
              <w:t>检查</w:t>
            </w:r>
          </w:p>
        </w:tc>
        <w:tc>
          <w:tcPr>
            <w:tcW w:w="1139" w:type="dxa"/>
            <w:shd w:val="clear" w:color="auto" w:fill="auto"/>
            <w:vAlign w:val="center"/>
          </w:tcPr>
          <w:p w14:paraId="6D9AE5AD">
            <w:pPr>
              <w:widowControl/>
              <w:autoSpaceDE w:val="0"/>
              <w:autoSpaceDN w:val="0"/>
              <w:spacing w:line="280" w:lineRule="exact"/>
              <w:jc w:val="center"/>
              <w:rPr>
                <w:rFonts w:hint="eastAsia" w:ascii="Times New Roman" w:hAnsi="Times New Roman" w:eastAsia="仿宋_GB2312" w:cs="Times New Roman"/>
                <w:color w:val="auto"/>
                <w:kern w:val="2"/>
                <w:sz w:val="21"/>
                <w:szCs w:val="21"/>
                <w:lang w:val="en-US" w:eastAsia="zh-CN" w:bidi="ar-SA"/>
              </w:rPr>
            </w:pPr>
            <w:r>
              <w:rPr>
                <w:rFonts w:hint="eastAsia" w:ascii="Times New Roman" w:hAnsi="Times New Roman" w:eastAsia="仿宋_GB2312" w:cs="方正仿宋_GBK"/>
                <w:color w:val="auto"/>
                <w:szCs w:val="21"/>
              </w:rPr>
              <w:t>双随机+重点检查</w:t>
            </w:r>
          </w:p>
        </w:tc>
        <w:tc>
          <w:tcPr>
            <w:tcW w:w="1491" w:type="dxa"/>
            <w:shd w:val="clear" w:color="auto" w:fill="auto"/>
            <w:vAlign w:val="center"/>
          </w:tcPr>
          <w:p w14:paraId="189F9889">
            <w:pPr>
              <w:widowControl/>
              <w:autoSpaceDE w:val="0"/>
              <w:autoSpaceDN w:val="0"/>
              <w:spacing w:line="280" w:lineRule="exact"/>
              <w:jc w:val="left"/>
              <w:rPr>
                <w:rFonts w:hint="eastAsia" w:ascii="Times New Roman" w:hAnsi="Times New Roman" w:eastAsia="仿宋_GB2312" w:cs="方正仿宋_GBK"/>
                <w:color w:val="auto"/>
                <w:kern w:val="2"/>
                <w:sz w:val="21"/>
                <w:szCs w:val="21"/>
                <w:lang w:val="en-US" w:eastAsia="zh-CN" w:bidi="ar-SA"/>
              </w:rPr>
            </w:pPr>
            <w:r>
              <w:rPr>
                <w:rFonts w:hint="eastAsia" w:ascii="Times New Roman" w:hAnsi="Times New Roman" w:eastAsia="仿宋_GB2312" w:cs="方正仿宋_GBK"/>
                <w:color w:val="auto"/>
                <w:szCs w:val="21"/>
              </w:rPr>
              <w:t>320217899000</w:t>
            </w:r>
          </w:p>
        </w:tc>
        <w:tc>
          <w:tcPr>
            <w:tcW w:w="1481" w:type="dxa"/>
            <w:shd w:val="clear" w:color="auto" w:fill="auto"/>
            <w:vAlign w:val="center"/>
          </w:tcPr>
          <w:p w14:paraId="3577973D">
            <w:pPr>
              <w:widowControl/>
              <w:autoSpaceDE w:val="0"/>
              <w:autoSpaceDN w:val="0"/>
              <w:spacing w:line="280" w:lineRule="exact"/>
              <w:jc w:val="left"/>
              <w:rPr>
                <w:rFonts w:hint="eastAsia" w:ascii="Times New Roman" w:hAnsi="Times New Roman" w:eastAsia="仿宋_GB2312" w:cs="方正仿宋_GBK"/>
                <w:color w:val="auto"/>
                <w:kern w:val="2"/>
                <w:sz w:val="21"/>
                <w:szCs w:val="21"/>
                <w:lang w:val="en-US" w:eastAsia="zh-CN" w:bidi="ar-SA"/>
              </w:rPr>
            </w:pPr>
            <w:r>
              <w:rPr>
                <w:rFonts w:hint="eastAsia" w:ascii="Times New Roman" w:hAnsi="Times New Roman" w:eastAsia="仿宋_GB2312" w:cs="方正仿宋_GBK"/>
                <w:color w:val="auto"/>
                <w:szCs w:val="21"/>
              </w:rPr>
              <w:t>对瓶装燃气经营者向未签订供用气合同的用户提供瓶装燃气、向餐饮用户提供气液两相瓶装燃气的处罚</w:t>
            </w:r>
          </w:p>
        </w:tc>
        <w:tc>
          <w:tcPr>
            <w:tcW w:w="622" w:type="dxa"/>
            <w:vAlign w:val="center"/>
          </w:tcPr>
          <w:p w14:paraId="40847AC2">
            <w:pPr>
              <w:spacing w:line="280" w:lineRule="exact"/>
              <w:rPr>
                <w:rFonts w:ascii="Times New Roman" w:hAnsi="Times New Roman" w:eastAsia="仿宋_GB2312"/>
                <w:color w:val="auto"/>
                <w:kern w:val="0"/>
                <w:szCs w:val="21"/>
              </w:rPr>
            </w:pPr>
          </w:p>
        </w:tc>
      </w:tr>
      <w:tr w14:paraId="7531A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6" w:hRule="atLeast"/>
          <w:jc w:val="center"/>
        </w:trPr>
        <w:tc>
          <w:tcPr>
            <w:tcW w:w="536" w:type="dxa"/>
            <w:vAlign w:val="center"/>
          </w:tcPr>
          <w:p w14:paraId="7AA1CC60">
            <w:pPr>
              <w:widowControl/>
              <w:autoSpaceDE w:val="0"/>
              <w:autoSpaceDN w:val="0"/>
              <w:spacing w:line="280" w:lineRule="exact"/>
              <w:jc w:val="center"/>
              <w:rPr>
                <w:rFonts w:hint="default" w:ascii="Times New Roman" w:hAnsi="Times New Roman" w:eastAsia="仿宋_GB2312" w:cs="方正仿宋_GBK"/>
                <w:color w:val="auto"/>
                <w:szCs w:val="21"/>
                <w:lang w:val="en-US" w:eastAsia="zh-CN"/>
              </w:rPr>
            </w:pPr>
            <w:r>
              <w:rPr>
                <w:rFonts w:hint="eastAsia" w:ascii="Times New Roman" w:hAnsi="Times New Roman" w:eastAsia="仿宋_GB2312" w:cs="方正仿宋_GBK"/>
                <w:color w:val="auto"/>
                <w:szCs w:val="21"/>
                <w:lang w:val="en-US" w:eastAsia="zh-CN"/>
              </w:rPr>
              <w:t>18</w:t>
            </w:r>
          </w:p>
        </w:tc>
        <w:tc>
          <w:tcPr>
            <w:tcW w:w="1324" w:type="dxa"/>
            <w:shd w:val="clear" w:color="auto" w:fill="auto"/>
            <w:vAlign w:val="center"/>
          </w:tcPr>
          <w:p w14:paraId="78F285AA">
            <w:pPr>
              <w:widowControl/>
              <w:autoSpaceDE w:val="0"/>
              <w:autoSpaceDN w:val="0"/>
              <w:spacing w:line="280" w:lineRule="exact"/>
              <w:jc w:val="left"/>
              <w:rPr>
                <w:rFonts w:hint="eastAsia" w:ascii="Times New Roman" w:hAnsi="Times New Roman" w:eastAsia="仿宋_GB2312" w:cs="方正仿宋_GBK"/>
                <w:color w:val="auto"/>
                <w:kern w:val="2"/>
                <w:sz w:val="21"/>
                <w:szCs w:val="21"/>
                <w:lang w:val="en-US" w:eastAsia="zh-CN" w:bidi="ar-SA"/>
              </w:rPr>
            </w:pPr>
            <w:r>
              <w:rPr>
                <w:rFonts w:hint="eastAsia" w:ascii="Times New Roman" w:hAnsi="Times New Roman" w:eastAsia="仿宋_GB2312" w:cs="方正仿宋_GBK"/>
                <w:color w:val="auto"/>
                <w:kern w:val="2"/>
                <w:sz w:val="21"/>
                <w:szCs w:val="21"/>
                <w:lang w:val="en-US" w:eastAsia="zh-CN" w:bidi="ar-SA"/>
              </w:rPr>
              <w:t>对燃气经营者的行政检查</w:t>
            </w:r>
          </w:p>
        </w:tc>
        <w:tc>
          <w:tcPr>
            <w:tcW w:w="794" w:type="dxa"/>
            <w:shd w:val="clear" w:color="auto" w:fill="auto"/>
            <w:vAlign w:val="center"/>
          </w:tcPr>
          <w:p w14:paraId="56624785">
            <w:pPr>
              <w:widowControl/>
              <w:autoSpaceDE w:val="0"/>
              <w:autoSpaceDN w:val="0"/>
              <w:spacing w:line="280" w:lineRule="exact"/>
              <w:jc w:val="center"/>
              <w:rPr>
                <w:rFonts w:hint="eastAsia" w:ascii="Times New Roman" w:hAnsi="Times New Roman" w:eastAsia="仿宋_GB2312" w:cs="方正仿宋_GBK"/>
                <w:color w:val="auto"/>
                <w:kern w:val="2"/>
                <w:sz w:val="21"/>
                <w:szCs w:val="21"/>
                <w:lang w:val="en-US" w:eastAsia="zh-CN" w:bidi="ar-SA"/>
              </w:rPr>
            </w:pPr>
            <w:r>
              <w:rPr>
                <w:rFonts w:hint="eastAsia" w:ascii="Times New Roman" w:hAnsi="Times New Roman" w:eastAsia="仿宋_GB2312" w:cs="方正仿宋_GBK"/>
                <w:color w:val="auto"/>
                <w:szCs w:val="21"/>
              </w:rPr>
              <w:t>苏州市相城区住房和城乡建设局</w:t>
            </w:r>
          </w:p>
        </w:tc>
        <w:tc>
          <w:tcPr>
            <w:tcW w:w="872" w:type="dxa"/>
            <w:shd w:val="clear" w:color="auto" w:fill="auto"/>
            <w:vAlign w:val="center"/>
          </w:tcPr>
          <w:p w14:paraId="7E71D44C">
            <w:pPr>
              <w:widowControl/>
              <w:autoSpaceDE w:val="0"/>
              <w:autoSpaceDN w:val="0"/>
              <w:spacing w:line="280" w:lineRule="exact"/>
              <w:jc w:val="left"/>
              <w:rPr>
                <w:rFonts w:hint="eastAsia" w:ascii="Times New Roman" w:hAnsi="Times New Roman" w:eastAsia="仿宋_GB2312" w:cs="方正仿宋_GBK"/>
                <w:color w:val="auto"/>
                <w:kern w:val="2"/>
                <w:sz w:val="21"/>
                <w:szCs w:val="21"/>
                <w:lang w:val="en-US" w:eastAsia="zh-CN" w:bidi="ar-SA"/>
              </w:rPr>
            </w:pPr>
            <w:r>
              <w:rPr>
                <w:rFonts w:hint="eastAsia" w:ascii="Times New Roman" w:hAnsi="Times New Roman" w:eastAsia="仿宋_GB2312" w:cs="方正仿宋_GBK"/>
                <w:color w:val="auto"/>
                <w:szCs w:val="21"/>
                <w:lang w:val="en-US" w:eastAsia="zh-CN"/>
              </w:rPr>
              <w:t>建设工程管理科</w:t>
            </w:r>
          </w:p>
        </w:tc>
        <w:tc>
          <w:tcPr>
            <w:tcW w:w="869" w:type="dxa"/>
            <w:shd w:val="clear" w:color="auto" w:fill="auto"/>
            <w:vAlign w:val="center"/>
          </w:tcPr>
          <w:p w14:paraId="2DF8FA87">
            <w:pPr>
              <w:widowControl/>
              <w:autoSpaceDE w:val="0"/>
              <w:autoSpaceDN w:val="0"/>
              <w:spacing w:line="280" w:lineRule="exact"/>
              <w:jc w:val="left"/>
              <w:rPr>
                <w:rFonts w:hint="eastAsia" w:ascii="Times New Roman" w:hAnsi="Times New Roman" w:eastAsia="仿宋_GB2312" w:cs="方正仿宋_GBK"/>
                <w:color w:val="auto"/>
                <w:kern w:val="2"/>
                <w:sz w:val="21"/>
                <w:szCs w:val="21"/>
                <w:lang w:val="en-US" w:eastAsia="zh-CN" w:bidi="ar-SA"/>
              </w:rPr>
            </w:pPr>
            <w:r>
              <w:rPr>
                <w:rFonts w:hint="eastAsia" w:ascii="Times New Roman" w:hAnsi="Times New Roman" w:eastAsia="仿宋_GB2312" w:cs="方正仿宋_GBK"/>
                <w:color w:val="auto"/>
                <w:szCs w:val="21"/>
              </w:rPr>
              <w:t>生产经营单位</w:t>
            </w:r>
          </w:p>
        </w:tc>
        <w:tc>
          <w:tcPr>
            <w:tcW w:w="4962" w:type="dxa"/>
            <w:shd w:val="clear" w:color="auto" w:fill="auto"/>
            <w:vAlign w:val="center"/>
          </w:tcPr>
          <w:p w14:paraId="16879CEE">
            <w:pPr>
              <w:keepNext w:val="0"/>
              <w:keepLines w:val="0"/>
              <w:pageBreakBefore w:val="0"/>
              <w:widowControl/>
              <w:kinsoku/>
              <w:wordWrap/>
              <w:overflowPunct/>
              <w:topLinePunct w:val="0"/>
              <w:autoSpaceDE w:val="0"/>
              <w:autoSpaceDN w:val="0"/>
              <w:bidi w:val="0"/>
              <w:adjustRightInd/>
              <w:snapToGrid/>
              <w:spacing w:line="240" w:lineRule="exact"/>
              <w:jc w:val="left"/>
              <w:textAlignment w:val="auto"/>
              <w:rPr>
                <w:rFonts w:hint="eastAsia" w:ascii="Times New Roman" w:hAnsi="Times New Roman" w:eastAsia="仿宋_GB2312" w:cs="方正仿宋_GBK"/>
                <w:color w:val="auto"/>
                <w:kern w:val="2"/>
                <w:sz w:val="21"/>
                <w:szCs w:val="21"/>
                <w:lang w:val="en-US" w:eastAsia="zh-CN" w:bidi="ar-SA"/>
              </w:rPr>
            </w:pPr>
            <w:r>
              <w:rPr>
                <w:rFonts w:hint="eastAsia" w:ascii="Times New Roman" w:hAnsi="Times New Roman" w:eastAsia="仿宋_GB2312" w:cs="方正仿宋_GBK"/>
                <w:color w:val="auto"/>
                <w:kern w:val="2"/>
                <w:sz w:val="21"/>
                <w:szCs w:val="21"/>
                <w:lang w:val="en-US" w:eastAsia="zh-CN" w:bidi="ar-SA"/>
              </w:rPr>
              <w:t>【行政法规】《城镇燃气管理条例》（国务院令第583号）</w:t>
            </w:r>
          </w:p>
          <w:p w14:paraId="5413C1B5">
            <w:pPr>
              <w:keepNext w:val="0"/>
              <w:keepLines w:val="0"/>
              <w:pageBreakBefore w:val="0"/>
              <w:widowControl/>
              <w:kinsoku/>
              <w:wordWrap/>
              <w:overflowPunct/>
              <w:topLinePunct w:val="0"/>
              <w:autoSpaceDE w:val="0"/>
              <w:autoSpaceDN w:val="0"/>
              <w:bidi w:val="0"/>
              <w:adjustRightInd/>
              <w:snapToGrid/>
              <w:spacing w:line="240" w:lineRule="exact"/>
              <w:ind w:firstLine="420" w:firstLineChars="200"/>
              <w:jc w:val="left"/>
              <w:textAlignment w:val="auto"/>
              <w:rPr>
                <w:rFonts w:hint="eastAsia" w:ascii="Times New Roman" w:hAnsi="Times New Roman" w:eastAsia="仿宋_GB2312" w:cs="方正仿宋_GBK"/>
                <w:color w:val="auto"/>
                <w:kern w:val="2"/>
                <w:sz w:val="21"/>
                <w:szCs w:val="21"/>
                <w:lang w:val="en-US" w:eastAsia="zh-CN" w:bidi="ar-SA"/>
              </w:rPr>
            </w:pPr>
            <w:r>
              <w:rPr>
                <w:rFonts w:hint="eastAsia" w:ascii="Times New Roman" w:hAnsi="Times New Roman" w:eastAsia="仿宋_GB2312" w:cs="方正仿宋_GBK"/>
                <w:color w:val="auto"/>
                <w:kern w:val="2"/>
                <w:sz w:val="21"/>
                <w:szCs w:val="21"/>
                <w:lang w:val="en-US" w:eastAsia="zh-CN" w:bidi="ar-SA"/>
              </w:rPr>
              <w:t>第十五条第一款  国家对燃气经营实行许可证制度。从事燃气经营活动的企业，应当具备下列条件。</w:t>
            </w:r>
          </w:p>
          <w:p w14:paraId="56B56639">
            <w:pPr>
              <w:keepNext w:val="0"/>
              <w:keepLines w:val="0"/>
              <w:pageBreakBefore w:val="0"/>
              <w:widowControl/>
              <w:kinsoku/>
              <w:wordWrap/>
              <w:overflowPunct/>
              <w:topLinePunct w:val="0"/>
              <w:autoSpaceDE w:val="0"/>
              <w:autoSpaceDN w:val="0"/>
              <w:bidi w:val="0"/>
              <w:adjustRightInd/>
              <w:snapToGrid/>
              <w:spacing w:line="240" w:lineRule="exact"/>
              <w:ind w:firstLine="420" w:firstLineChars="200"/>
              <w:jc w:val="left"/>
              <w:textAlignment w:val="auto"/>
              <w:rPr>
                <w:rFonts w:hint="eastAsia" w:ascii="Times New Roman" w:hAnsi="Times New Roman" w:eastAsia="仿宋_GB2312" w:cs="方正仿宋_GBK"/>
                <w:color w:val="auto"/>
                <w:kern w:val="2"/>
                <w:sz w:val="21"/>
                <w:szCs w:val="21"/>
                <w:lang w:val="en-US" w:eastAsia="zh-CN" w:bidi="ar-SA"/>
              </w:rPr>
            </w:pPr>
            <w:r>
              <w:rPr>
                <w:rFonts w:hint="eastAsia" w:ascii="Times New Roman" w:hAnsi="Times New Roman" w:eastAsia="仿宋_GB2312" w:cs="方正仿宋_GBK"/>
                <w:color w:val="auto"/>
                <w:kern w:val="2"/>
                <w:sz w:val="21"/>
                <w:szCs w:val="21"/>
                <w:lang w:val="en-US" w:eastAsia="zh-CN" w:bidi="ar-SA"/>
              </w:rPr>
              <w:t>第四十五条第一款  违反本条例规定，未取得燃气经营许可证从事燃气经营活动的，由燃气管理部门责令停止违法行为，处5万元以上50万元以下罚款；有违法所得的，没收违法所得；构成犯罪的，依法追究刑事责任。</w:t>
            </w:r>
          </w:p>
        </w:tc>
        <w:tc>
          <w:tcPr>
            <w:tcW w:w="992" w:type="dxa"/>
            <w:shd w:val="clear" w:color="auto" w:fill="auto"/>
            <w:vAlign w:val="center"/>
          </w:tcPr>
          <w:p w14:paraId="53A7DCE4">
            <w:pPr>
              <w:widowControl/>
              <w:autoSpaceDE w:val="0"/>
              <w:autoSpaceDN w:val="0"/>
              <w:spacing w:line="280" w:lineRule="exact"/>
              <w:jc w:val="center"/>
              <w:rPr>
                <w:rFonts w:hint="eastAsia"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现场</w:t>
            </w:r>
          </w:p>
          <w:p w14:paraId="154B9D8C">
            <w:pPr>
              <w:widowControl/>
              <w:autoSpaceDE w:val="0"/>
              <w:autoSpaceDN w:val="0"/>
              <w:spacing w:line="280" w:lineRule="exact"/>
              <w:jc w:val="center"/>
              <w:rPr>
                <w:rFonts w:hint="eastAsia" w:ascii="Times New Roman" w:hAnsi="Times New Roman" w:eastAsia="仿宋_GB2312" w:cs="方正仿宋_GBK"/>
                <w:color w:val="auto"/>
                <w:kern w:val="2"/>
                <w:sz w:val="21"/>
                <w:szCs w:val="21"/>
                <w:lang w:val="en-US" w:eastAsia="zh-CN" w:bidi="ar-SA"/>
              </w:rPr>
            </w:pPr>
            <w:r>
              <w:rPr>
                <w:rFonts w:hint="eastAsia" w:ascii="Times New Roman" w:hAnsi="Times New Roman" w:eastAsia="仿宋_GB2312" w:cs="方正仿宋_GBK"/>
                <w:color w:val="auto"/>
                <w:szCs w:val="21"/>
              </w:rPr>
              <w:t>检查</w:t>
            </w:r>
          </w:p>
        </w:tc>
        <w:tc>
          <w:tcPr>
            <w:tcW w:w="1139" w:type="dxa"/>
            <w:shd w:val="clear" w:color="auto" w:fill="auto"/>
            <w:vAlign w:val="center"/>
          </w:tcPr>
          <w:p w14:paraId="5CA1629A">
            <w:pPr>
              <w:widowControl/>
              <w:autoSpaceDE w:val="0"/>
              <w:autoSpaceDN w:val="0"/>
              <w:spacing w:line="280" w:lineRule="exact"/>
              <w:jc w:val="center"/>
              <w:rPr>
                <w:rFonts w:hint="eastAsia" w:ascii="Times New Roman" w:hAnsi="Times New Roman" w:eastAsia="仿宋_GB2312" w:cs="Times New Roman"/>
                <w:color w:val="auto"/>
                <w:kern w:val="2"/>
                <w:sz w:val="21"/>
                <w:szCs w:val="21"/>
                <w:lang w:val="en-US" w:eastAsia="zh-CN" w:bidi="ar-SA"/>
              </w:rPr>
            </w:pPr>
            <w:r>
              <w:rPr>
                <w:rFonts w:hint="eastAsia" w:ascii="Times New Roman" w:hAnsi="Times New Roman" w:eastAsia="仿宋_GB2312" w:cs="方正仿宋_GBK"/>
                <w:color w:val="auto"/>
                <w:szCs w:val="21"/>
              </w:rPr>
              <w:t>双随机+重点检查</w:t>
            </w:r>
          </w:p>
        </w:tc>
        <w:tc>
          <w:tcPr>
            <w:tcW w:w="1491" w:type="dxa"/>
            <w:shd w:val="clear" w:color="auto" w:fill="auto"/>
            <w:vAlign w:val="center"/>
          </w:tcPr>
          <w:p w14:paraId="5D058F32">
            <w:pPr>
              <w:widowControl/>
              <w:autoSpaceDE w:val="0"/>
              <w:autoSpaceDN w:val="0"/>
              <w:spacing w:line="280" w:lineRule="exact"/>
              <w:jc w:val="left"/>
              <w:rPr>
                <w:rFonts w:hint="eastAsia" w:ascii="Times New Roman" w:hAnsi="Times New Roman" w:eastAsia="仿宋_GB2312" w:cs="方正仿宋_GBK"/>
                <w:color w:val="auto"/>
                <w:kern w:val="2"/>
                <w:sz w:val="20"/>
                <w:szCs w:val="21"/>
                <w:lang w:val="en-US" w:eastAsia="zh-CN" w:bidi="ar-SA"/>
              </w:rPr>
            </w:pPr>
            <w:r>
              <w:rPr>
                <w:rFonts w:hint="eastAsia" w:ascii="Times New Roman" w:hAnsi="Times New Roman" w:eastAsia="仿宋_GB2312" w:cs="方正仿宋_GBK"/>
                <w:color w:val="auto"/>
                <w:sz w:val="20"/>
                <w:szCs w:val="21"/>
              </w:rPr>
              <w:t xml:space="preserve">320217412000 </w:t>
            </w:r>
          </w:p>
        </w:tc>
        <w:tc>
          <w:tcPr>
            <w:tcW w:w="1481" w:type="dxa"/>
            <w:shd w:val="clear" w:color="auto" w:fill="auto"/>
            <w:vAlign w:val="center"/>
          </w:tcPr>
          <w:p w14:paraId="07C57481">
            <w:pPr>
              <w:widowControl/>
              <w:autoSpaceDE w:val="0"/>
              <w:autoSpaceDN w:val="0"/>
              <w:spacing w:line="280" w:lineRule="exact"/>
              <w:jc w:val="left"/>
              <w:rPr>
                <w:rFonts w:hint="eastAsia" w:ascii="Times New Roman" w:hAnsi="Times New Roman" w:eastAsia="仿宋_GB2312" w:cs="方正仿宋_GBK"/>
                <w:color w:val="auto"/>
                <w:kern w:val="2"/>
                <w:sz w:val="21"/>
                <w:szCs w:val="21"/>
                <w:lang w:val="en-US" w:eastAsia="zh-CN" w:bidi="ar-SA"/>
              </w:rPr>
            </w:pPr>
            <w:r>
              <w:rPr>
                <w:rFonts w:hint="eastAsia" w:ascii="Times New Roman" w:hAnsi="Times New Roman" w:eastAsia="仿宋_GB2312" w:cs="方正仿宋_GBK"/>
                <w:color w:val="auto"/>
                <w:szCs w:val="21"/>
                <w:lang w:val="en-US" w:eastAsia="zh-CN"/>
              </w:rPr>
              <w:t>对未取得燃气经营许可证从事燃气经营活动的处罚</w:t>
            </w:r>
          </w:p>
        </w:tc>
        <w:tc>
          <w:tcPr>
            <w:tcW w:w="622" w:type="dxa"/>
            <w:vAlign w:val="center"/>
          </w:tcPr>
          <w:p w14:paraId="4BADB082">
            <w:pPr>
              <w:spacing w:line="280" w:lineRule="exact"/>
              <w:rPr>
                <w:rFonts w:ascii="Times New Roman" w:hAnsi="Times New Roman" w:eastAsia="仿宋_GB2312"/>
                <w:color w:val="auto"/>
                <w:kern w:val="0"/>
                <w:szCs w:val="21"/>
              </w:rPr>
            </w:pPr>
          </w:p>
        </w:tc>
      </w:tr>
      <w:tr w14:paraId="4D04AB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6" w:hRule="atLeast"/>
          <w:jc w:val="center"/>
        </w:trPr>
        <w:tc>
          <w:tcPr>
            <w:tcW w:w="536" w:type="dxa"/>
            <w:vAlign w:val="center"/>
          </w:tcPr>
          <w:p w14:paraId="53388D60">
            <w:pPr>
              <w:widowControl/>
              <w:autoSpaceDE w:val="0"/>
              <w:autoSpaceDN w:val="0"/>
              <w:spacing w:line="280" w:lineRule="exact"/>
              <w:jc w:val="center"/>
              <w:rPr>
                <w:rFonts w:hint="default" w:ascii="Times New Roman" w:hAnsi="Times New Roman" w:eastAsia="仿宋_GB2312" w:cs="方正仿宋_GBK"/>
                <w:color w:val="auto"/>
                <w:szCs w:val="21"/>
                <w:lang w:val="en-US" w:eastAsia="zh-CN"/>
              </w:rPr>
            </w:pPr>
            <w:r>
              <w:rPr>
                <w:rFonts w:hint="eastAsia" w:ascii="Times New Roman" w:hAnsi="Times New Roman" w:eastAsia="仿宋_GB2312" w:cs="方正仿宋_GBK"/>
                <w:color w:val="auto"/>
                <w:szCs w:val="21"/>
                <w:lang w:val="en-US" w:eastAsia="zh-CN"/>
              </w:rPr>
              <w:t>19</w:t>
            </w:r>
          </w:p>
        </w:tc>
        <w:tc>
          <w:tcPr>
            <w:tcW w:w="1324" w:type="dxa"/>
            <w:shd w:val="clear" w:color="auto" w:fill="auto"/>
            <w:vAlign w:val="center"/>
          </w:tcPr>
          <w:p w14:paraId="18FBDA2D">
            <w:pPr>
              <w:widowControl/>
              <w:autoSpaceDE w:val="0"/>
              <w:autoSpaceDN w:val="0"/>
              <w:spacing w:line="280" w:lineRule="exact"/>
              <w:jc w:val="left"/>
              <w:rPr>
                <w:rFonts w:hint="eastAsia" w:ascii="Times New Roman" w:hAnsi="Times New Roman" w:eastAsia="仿宋_GB2312" w:cs="方正仿宋_GBK"/>
                <w:color w:val="auto"/>
                <w:szCs w:val="21"/>
                <w:lang w:val="en-US" w:eastAsia="zh-CN"/>
              </w:rPr>
            </w:pPr>
            <w:r>
              <w:rPr>
                <w:rFonts w:hint="eastAsia" w:ascii="Times New Roman" w:hAnsi="Times New Roman" w:eastAsia="仿宋_GB2312" w:cs="方正仿宋_GBK"/>
                <w:color w:val="auto"/>
                <w:szCs w:val="21"/>
                <w:lang w:val="en-US" w:eastAsia="zh-CN"/>
              </w:rPr>
              <w:t>对房产经纪机构信息公示情况的检查</w:t>
            </w:r>
          </w:p>
        </w:tc>
        <w:tc>
          <w:tcPr>
            <w:tcW w:w="794" w:type="dxa"/>
            <w:shd w:val="clear" w:color="auto" w:fill="auto"/>
            <w:vAlign w:val="center"/>
          </w:tcPr>
          <w:p w14:paraId="2192CBFF">
            <w:pPr>
              <w:widowControl/>
              <w:autoSpaceDE w:val="0"/>
              <w:autoSpaceDN w:val="0"/>
              <w:spacing w:line="280" w:lineRule="exact"/>
              <w:jc w:val="center"/>
              <w:rPr>
                <w:rFonts w:hint="eastAsia" w:ascii="Times New Roman" w:hAnsi="Times New Roman" w:eastAsia="仿宋_GB2312" w:cs="方正仿宋_GBK"/>
                <w:color w:val="auto"/>
                <w:szCs w:val="21"/>
                <w:lang w:val="en-US" w:eastAsia="zh-CN"/>
              </w:rPr>
            </w:pPr>
            <w:r>
              <w:rPr>
                <w:rFonts w:hint="eastAsia" w:ascii="Times New Roman" w:hAnsi="Times New Roman" w:eastAsia="仿宋_GB2312" w:cs="方正仿宋_GBK"/>
                <w:color w:val="auto"/>
                <w:szCs w:val="21"/>
                <w:lang w:val="en-US" w:eastAsia="zh-CN"/>
              </w:rPr>
              <w:t>苏州市相城区住房和城乡建设局</w:t>
            </w:r>
          </w:p>
        </w:tc>
        <w:tc>
          <w:tcPr>
            <w:tcW w:w="872" w:type="dxa"/>
            <w:shd w:val="clear" w:color="auto" w:fill="auto"/>
            <w:vAlign w:val="center"/>
          </w:tcPr>
          <w:p w14:paraId="43088245">
            <w:pPr>
              <w:widowControl/>
              <w:autoSpaceDE w:val="0"/>
              <w:autoSpaceDN w:val="0"/>
              <w:spacing w:line="280" w:lineRule="exact"/>
              <w:jc w:val="left"/>
              <w:rPr>
                <w:rFonts w:hint="eastAsia" w:ascii="Times New Roman" w:hAnsi="Times New Roman" w:eastAsia="仿宋_GB2312" w:cs="方正仿宋_GBK"/>
                <w:color w:val="auto"/>
                <w:szCs w:val="21"/>
                <w:lang w:val="en-US" w:eastAsia="zh-CN"/>
              </w:rPr>
            </w:pPr>
            <w:r>
              <w:rPr>
                <w:rFonts w:hint="eastAsia" w:ascii="Times New Roman" w:hAnsi="Times New Roman" w:eastAsia="仿宋_GB2312" w:cs="方正仿宋_GBK"/>
                <w:color w:val="auto"/>
                <w:szCs w:val="21"/>
                <w:lang w:val="en-US" w:eastAsia="zh-CN"/>
              </w:rPr>
              <w:t>相城区房产交易中心</w:t>
            </w:r>
          </w:p>
        </w:tc>
        <w:tc>
          <w:tcPr>
            <w:tcW w:w="869" w:type="dxa"/>
            <w:shd w:val="clear" w:color="auto" w:fill="auto"/>
            <w:vAlign w:val="center"/>
          </w:tcPr>
          <w:p w14:paraId="66400898">
            <w:pPr>
              <w:widowControl/>
              <w:autoSpaceDE w:val="0"/>
              <w:autoSpaceDN w:val="0"/>
              <w:spacing w:line="280" w:lineRule="exact"/>
              <w:jc w:val="left"/>
              <w:rPr>
                <w:rFonts w:hint="eastAsia" w:ascii="Times New Roman" w:hAnsi="Times New Roman" w:eastAsia="仿宋_GB2312" w:cs="方正仿宋_GBK"/>
                <w:color w:val="auto"/>
                <w:szCs w:val="21"/>
                <w:lang w:val="en-US" w:eastAsia="zh-CN"/>
              </w:rPr>
            </w:pPr>
            <w:r>
              <w:rPr>
                <w:rFonts w:hint="eastAsia" w:ascii="Times New Roman" w:hAnsi="Times New Roman" w:eastAsia="仿宋_GB2312" w:cs="方正仿宋_GBK"/>
                <w:color w:val="auto"/>
                <w:szCs w:val="21"/>
                <w:lang w:val="en-US" w:eastAsia="zh-CN"/>
              </w:rPr>
              <w:t>房产经纪机构</w:t>
            </w:r>
          </w:p>
        </w:tc>
        <w:tc>
          <w:tcPr>
            <w:tcW w:w="4962" w:type="dxa"/>
            <w:shd w:val="clear" w:color="auto" w:fill="auto"/>
            <w:vAlign w:val="center"/>
          </w:tcPr>
          <w:p w14:paraId="090E1B6B">
            <w:pPr>
              <w:keepNext w:val="0"/>
              <w:keepLines w:val="0"/>
              <w:pageBreakBefore w:val="0"/>
              <w:widowControl/>
              <w:kinsoku/>
              <w:wordWrap/>
              <w:overflowPunct/>
              <w:topLinePunct w:val="0"/>
              <w:autoSpaceDE w:val="0"/>
              <w:autoSpaceDN w:val="0"/>
              <w:bidi w:val="0"/>
              <w:adjustRightInd/>
              <w:snapToGrid/>
              <w:spacing w:line="240" w:lineRule="exact"/>
              <w:jc w:val="left"/>
              <w:textAlignment w:val="auto"/>
              <w:rPr>
                <w:rFonts w:hint="eastAsia" w:ascii="Times New Roman" w:hAnsi="Times New Roman" w:eastAsia="仿宋_GB2312" w:cs="方正仿宋_GBK"/>
                <w:color w:val="auto"/>
                <w:szCs w:val="21"/>
                <w:lang w:val="en-US" w:eastAsia="zh-CN"/>
              </w:rPr>
            </w:pPr>
            <w:r>
              <w:rPr>
                <w:rFonts w:hint="eastAsia" w:ascii="Times New Roman" w:hAnsi="Times New Roman" w:eastAsia="仿宋_GB2312" w:cs="方正仿宋_GBK"/>
                <w:color w:val="auto"/>
                <w:szCs w:val="21"/>
                <w:lang w:val="en-US" w:eastAsia="zh-CN"/>
              </w:rPr>
              <w:t>【规章】《房地产经纪管理办法》（住房和城乡建设部 国家发展和改革委 人力资源和社会保障部令第8号）</w:t>
            </w:r>
          </w:p>
          <w:p w14:paraId="3FCCCDB6">
            <w:pPr>
              <w:keepNext w:val="0"/>
              <w:keepLines w:val="0"/>
              <w:pageBreakBefore w:val="0"/>
              <w:widowControl/>
              <w:kinsoku/>
              <w:wordWrap/>
              <w:overflowPunct/>
              <w:topLinePunct w:val="0"/>
              <w:autoSpaceDE w:val="0"/>
              <w:autoSpaceDN w:val="0"/>
              <w:bidi w:val="0"/>
              <w:adjustRightInd/>
              <w:snapToGrid/>
              <w:spacing w:line="240" w:lineRule="exact"/>
              <w:ind w:firstLine="420" w:firstLineChars="200"/>
              <w:jc w:val="left"/>
              <w:textAlignment w:val="auto"/>
              <w:rPr>
                <w:rFonts w:hint="eastAsia" w:ascii="Times New Roman" w:hAnsi="Times New Roman" w:eastAsia="仿宋_GB2312" w:cs="方正仿宋_GBK"/>
                <w:color w:val="auto"/>
                <w:kern w:val="2"/>
                <w:sz w:val="21"/>
                <w:szCs w:val="21"/>
                <w:lang w:val="en-US" w:eastAsia="zh-CN" w:bidi="ar-SA"/>
              </w:rPr>
            </w:pPr>
            <w:r>
              <w:rPr>
                <w:rFonts w:hint="eastAsia" w:ascii="Times New Roman" w:hAnsi="Times New Roman" w:eastAsia="仿宋_GB2312" w:cs="方正仿宋_GBK"/>
                <w:color w:val="auto"/>
                <w:kern w:val="2"/>
                <w:sz w:val="21"/>
                <w:szCs w:val="21"/>
                <w:lang w:val="en-US" w:eastAsia="zh-CN" w:bidi="ar-SA"/>
              </w:rPr>
              <w:t>第五条　县级以上人民政府建设（房地产）主管部门、价格主管部门、人力资源和社会保障主管部门应当按照职责分工，分别负责房地产经纪活动的监督和管理。</w:t>
            </w:r>
          </w:p>
          <w:p w14:paraId="3DF952AE">
            <w:pPr>
              <w:keepNext w:val="0"/>
              <w:keepLines w:val="0"/>
              <w:pageBreakBefore w:val="0"/>
              <w:widowControl/>
              <w:kinsoku/>
              <w:wordWrap/>
              <w:overflowPunct/>
              <w:topLinePunct w:val="0"/>
              <w:autoSpaceDE w:val="0"/>
              <w:autoSpaceDN w:val="0"/>
              <w:bidi w:val="0"/>
              <w:adjustRightInd/>
              <w:snapToGrid/>
              <w:spacing w:line="240" w:lineRule="exact"/>
              <w:ind w:firstLine="420" w:firstLineChars="200"/>
              <w:jc w:val="left"/>
              <w:textAlignment w:val="auto"/>
              <w:rPr>
                <w:rFonts w:hint="eastAsia" w:ascii="Times New Roman" w:hAnsi="Times New Roman" w:eastAsia="仿宋_GB2312" w:cs="方正仿宋_GBK"/>
                <w:color w:val="auto"/>
                <w:kern w:val="2"/>
                <w:sz w:val="21"/>
                <w:szCs w:val="21"/>
                <w:lang w:val="en-US" w:eastAsia="zh-CN" w:bidi="ar-SA"/>
              </w:rPr>
            </w:pPr>
            <w:r>
              <w:rPr>
                <w:rFonts w:hint="eastAsia" w:ascii="Times New Roman" w:hAnsi="Times New Roman" w:eastAsia="仿宋_GB2312" w:cs="方正仿宋_GBK"/>
                <w:color w:val="auto"/>
                <w:kern w:val="2"/>
                <w:sz w:val="21"/>
                <w:szCs w:val="21"/>
                <w:lang w:val="en-US" w:eastAsia="zh-CN" w:bidi="ar-SA"/>
              </w:rPr>
              <w:t>第十五条  房地产经纪机构及其分支机构应当在其经营场所醒目位置公示下列内容：</w:t>
            </w:r>
          </w:p>
          <w:p w14:paraId="3A6EF91A">
            <w:pPr>
              <w:keepNext w:val="0"/>
              <w:keepLines w:val="0"/>
              <w:pageBreakBefore w:val="0"/>
              <w:widowControl/>
              <w:kinsoku/>
              <w:wordWrap/>
              <w:overflowPunct/>
              <w:topLinePunct w:val="0"/>
              <w:autoSpaceDE w:val="0"/>
              <w:autoSpaceDN w:val="0"/>
              <w:bidi w:val="0"/>
              <w:adjustRightInd/>
              <w:snapToGrid/>
              <w:spacing w:line="240" w:lineRule="exact"/>
              <w:ind w:firstLine="420" w:firstLineChars="200"/>
              <w:jc w:val="left"/>
              <w:textAlignment w:val="auto"/>
              <w:rPr>
                <w:rFonts w:hint="eastAsia" w:ascii="Times New Roman" w:hAnsi="Times New Roman" w:eastAsia="仿宋_GB2312" w:cs="方正仿宋_GBK"/>
                <w:color w:val="auto"/>
                <w:kern w:val="2"/>
                <w:sz w:val="21"/>
                <w:szCs w:val="21"/>
                <w:lang w:val="en-US" w:eastAsia="zh-CN" w:bidi="ar-SA"/>
              </w:rPr>
            </w:pPr>
            <w:r>
              <w:rPr>
                <w:rFonts w:hint="eastAsia" w:ascii="Times New Roman" w:hAnsi="Times New Roman" w:eastAsia="仿宋_GB2312" w:cs="方正仿宋_GBK"/>
                <w:color w:val="auto"/>
                <w:kern w:val="2"/>
                <w:sz w:val="21"/>
                <w:szCs w:val="21"/>
                <w:lang w:val="en-US" w:eastAsia="zh-CN" w:bidi="ar-SA"/>
              </w:rPr>
              <w:t>（一）营业执照和备案证明文件；</w:t>
            </w:r>
          </w:p>
          <w:p w14:paraId="12B55816">
            <w:pPr>
              <w:keepNext w:val="0"/>
              <w:keepLines w:val="0"/>
              <w:pageBreakBefore w:val="0"/>
              <w:widowControl/>
              <w:kinsoku/>
              <w:wordWrap/>
              <w:overflowPunct/>
              <w:topLinePunct w:val="0"/>
              <w:autoSpaceDE w:val="0"/>
              <w:autoSpaceDN w:val="0"/>
              <w:bidi w:val="0"/>
              <w:adjustRightInd/>
              <w:snapToGrid/>
              <w:spacing w:line="240" w:lineRule="exact"/>
              <w:ind w:firstLine="420" w:firstLineChars="200"/>
              <w:jc w:val="left"/>
              <w:textAlignment w:val="auto"/>
              <w:rPr>
                <w:rFonts w:hint="eastAsia" w:ascii="Times New Roman" w:hAnsi="Times New Roman" w:eastAsia="仿宋_GB2312" w:cs="方正仿宋_GBK"/>
                <w:color w:val="auto"/>
                <w:kern w:val="2"/>
                <w:sz w:val="21"/>
                <w:szCs w:val="21"/>
                <w:lang w:val="en-US" w:eastAsia="zh-CN" w:bidi="ar-SA"/>
              </w:rPr>
            </w:pPr>
            <w:r>
              <w:rPr>
                <w:rFonts w:hint="eastAsia" w:ascii="Times New Roman" w:hAnsi="Times New Roman" w:eastAsia="仿宋_GB2312" w:cs="方正仿宋_GBK"/>
                <w:color w:val="auto"/>
                <w:kern w:val="2"/>
                <w:sz w:val="21"/>
                <w:szCs w:val="21"/>
                <w:lang w:val="en-US" w:eastAsia="zh-CN" w:bidi="ar-SA"/>
              </w:rPr>
              <w:t>（二）服务项目、内容、标准；</w:t>
            </w:r>
          </w:p>
          <w:p w14:paraId="14E5DEA2">
            <w:pPr>
              <w:keepNext w:val="0"/>
              <w:keepLines w:val="0"/>
              <w:pageBreakBefore w:val="0"/>
              <w:widowControl/>
              <w:kinsoku/>
              <w:wordWrap/>
              <w:overflowPunct/>
              <w:topLinePunct w:val="0"/>
              <w:autoSpaceDE w:val="0"/>
              <w:autoSpaceDN w:val="0"/>
              <w:bidi w:val="0"/>
              <w:adjustRightInd/>
              <w:snapToGrid/>
              <w:spacing w:line="240" w:lineRule="exact"/>
              <w:ind w:firstLine="420" w:firstLineChars="200"/>
              <w:jc w:val="left"/>
              <w:textAlignment w:val="auto"/>
              <w:rPr>
                <w:rFonts w:hint="eastAsia" w:ascii="Times New Roman" w:hAnsi="Times New Roman" w:eastAsia="仿宋_GB2312" w:cs="方正仿宋_GBK"/>
                <w:color w:val="auto"/>
                <w:szCs w:val="21"/>
                <w:lang w:val="en-US" w:eastAsia="zh-CN"/>
              </w:rPr>
            </w:pPr>
            <w:r>
              <w:rPr>
                <w:rFonts w:hint="eastAsia" w:ascii="Times New Roman" w:hAnsi="Times New Roman" w:eastAsia="仿宋_GB2312" w:cs="方正仿宋_GBK"/>
                <w:color w:val="auto"/>
                <w:szCs w:val="21"/>
                <w:lang w:val="en-US" w:eastAsia="zh-CN"/>
              </w:rPr>
              <w:t>（三）业务流程；</w:t>
            </w:r>
          </w:p>
          <w:p w14:paraId="103AC16A">
            <w:pPr>
              <w:keepNext w:val="0"/>
              <w:keepLines w:val="0"/>
              <w:pageBreakBefore w:val="0"/>
              <w:widowControl/>
              <w:kinsoku/>
              <w:wordWrap/>
              <w:overflowPunct/>
              <w:topLinePunct w:val="0"/>
              <w:autoSpaceDE w:val="0"/>
              <w:autoSpaceDN w:val="0"/>
              <w:bidi w:val="0"/>
              <w:adjustRightInd/>
              <w:snapToGrid/>
              <w:spacing w:line="240" w:lineRule="exact"/>
              <w:ind w:firstLine="420" w:firstLineChars="200"/>
              <w:jc w:val="left"/>
              <w:textAlignment w:val="auto"/>
              <w:rPr>
                <w:rFonts w:hint="eastAsia" w:ascii="Times New Roman" w:hAnsi="Times New Roman" w:eastAsia="仿宋_GB2312" w:cs="方正仿宋_GBK"/>
                <w:color w:val="auto"/>
                <w:szCs w:val="21"/>
                <w:lang w:val="en-US" w:eastAsia="zh-CN"/>
              </w:rPr>
            </w:pPr>
            <w:r>
              <w:rPr>
                <w:rFonts w:hint="eastAsia" w:ascii="Times New Roman" w:hAnsi="Times New Roman" w:eastAsia="仿宋_GB2312" w:cs="方正仿宋_GBK"/>
                <w:color w:val="auto"/>
                <w:szCs w:val="21"/>
                <w:lang w:val="en-US" w:eastAsia="zh-CN"/>
              </w:rPr>
              <w:t>（四）收费项目、依据、标准；</w:t>
            </w:r>
          </w:p>
          <w:p w14:paraId="25ACB7B1">
            <w:pPr>
              <w:keepNext w:val="0"/>
              <w:keepLines w:val="0"/>
              <w:pageBreakBefore w:val="0"/>
              <w:widowControl/>
              <w:kinsoku/>
              <w:wordWrap/>
              <w:overflowPunct/>
              <w:topLinePunct w:val="0"/>
              <w:autoSpaceDE w:val="0"/>
              <w:autoSpaceDN w:val="0"/>
              <w:bidi w:val="0"/>
              <w:adjustRightInd/>
              <w:snapToGrid/>
              <w:spacing w:line="240" w:lineRule="exact"/>
              <w:ind w:firstLine="420" w:firstLineChars="200"/>
              <w:jc w:val="left"/>
              <w:textAlignment w:val="auto"/>
              <w:rPr>
                <w:rFonts w:hint="eastAsia" w:ascii="Times New Roman" w:hAnsi="Times New Roman" w:eastAsia="仿宋_GB2312" w:cs="方正仿宋_GBK"/>
                <w:color w:val="auto"/>
                <w:szCs w:val="21"/>
                <w:lang w:val="en-US" w:eastAsia="zh-CN"/>
              </w:rPr>
            </w:pPr>
            <w:r>
              <w:rPr>
                <w:rFonts w:hint="eastAsia" w:ascii="Times New Roman" w:hAnsi="Times New Roman" w:eastAsia="仿宋_GB2312" w:cs="方正仿宋_GBK"/>
                <w:color w:val="auto"/>
                <w:szCs w:val="21"/>
                <w:lang w:val="en-US" w:eastAsia="zh-CN"/>
              </w:rPr>
              <w:t>（五）交易资金监管方式；</w:t>
            </w:r>
          </w:p>
        </w:tc>
        <w:tc>
          <w:tcPr>
            <w:tcW w:w="992" w:type="dxa"/>
            <w:shd w:val="clear" w:color="auto" w:fill="auto"/>
            <w:vAlign w:val="center"/>
          </w:tcPr>
          <w:p w14:paraId="5CB0C593">
            <w:pPr>
              <w:widowControl/>
              <w:autoSpaceDE w:val="0"/>
              <w:autoSpaceDN w:val="0"/>
              <w:spacing w:line="280" w:lineRule="exact"/>
              <w:jc w:val="center"/>
              <w:rPr>
                <w:rFonts w:hint="eastAsia"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现场</w:t>
            </w:r>
          </w:p>
          <w:p w14:paraId="5C67E14C">
            <w:pPr>
              <w:widowControl/>
              <w:autoSpaceDE w:val="0"/>
              <w:autoSpaceDN w:val="0"/>
              <w:spacing w:line="280" w:lineRule="exact"/>
              <w:jc w:val="center"/>
              <w:rPr>
                <w:rFonts w:hint="eastAsia" w:ascii="Times New Roman" w:hAnsi="Times New Roman" w:eastAsia="仿宋_GB2312" w:cs="方正仿宋_GBK"/>
                <w:color w:val="auto"/>
                <w:szCs w:val="21"/>
                <w:lang w:val="en-US" w:eastAsia="zh-CN"/>
              </w:rPr>
            </w:pPr>
            <w:r>
              <w:rPr>
                <w:rFonts w:hint="eastAsia" w:ascii="Times New Roman" w:hAnsi="Times New Roman" w:eastAsia="仿宋_GB2312" w:cs="方正仿宋_GBK"/>
                <w:color w:val="auto"/>
                <w:szCs w:val="21"/>
              </w:rPr>
              <w:t>检查</w:t>
            </w:r>
          </w:p>
        </w:tc>
        <w:tc>
          <w:tcPr>
            <w:tcW w:w="1139" w:type="dxa"/>
            <w:shd w:val="clear" w:color="auto" w:fill="auto"/>
            <w:vAlign w:val="center"/>
          </w:tcPr>
          <w:p w14:paraId="7FECCBA3">
            <w:pPr>
              <w:widowControl/>
              <w:autoSpaceDE w:val="0"/>
              <w:autoSpaceDN w:val="0"/>
              <w:spacing w:line="280" w:lineRule="exact"/>
              <w:jc w:val="center"/>
              <w:rPr>
                <w:rFonts w:hint="eastAsia" w:ascii="Times New Roman" w:hAnsi="Times New Roman" w:eastAsia="仿宋_GB2312" w:cs="方正仿宋_GBK"/>
                <w:color w:val="auto"/>
                <w:szCs w:val="21"/>
                <w:lang w:val="en-US" w:eastAsia="zh-CN"/>
              </w:rPr>
            </w:pPr>
            <w:r>
              <w:rPr>
                <w:rFonts w:hint="eastAsia" w:ascii="Times New Roman" w:hAnsi="Times New Roman" w:eastAsia="仿宋_GB2312" w:cs="方正仿宋_GBK"/>
                <w:color w:val="auto"/>
                <w:szCs w:val="21"/>
                <w:lang w:val="en-US" w:eastAsia="zh-CN"/>
              </w:rPr>
              <w:t>双随机</w:t>
            </w:r>
          </w:p>
        </w:tc>
        <w:tc>
          <w:tcPr>
            <w:tcW w:w="1491" w:type="dxa"/>
            <w:shd w:val="clear" w:color="auto" w:fill="auto"/>
            <w:vAlign w:val="center"/>
          </w:tcPr>
          <w:p w14:paraId="23B2F1BC">
            <w:pPr>
              <w:widowControl/>
              <w:autoSpaceDE w:val="0"/>
              <w:autoSpaceDN w:val="0"/>
              <w:spacing w:line="280" w:lineRule="exact"/>
              <w:jc w:val="left"/>
              <w:rPr>
                <w:rFonts w:hint="eastAsia" w:ascii="Times New Roman" w:hAnsi="Times New Roman" w:eastAsia="仿宋_GB2312" w:cs="方正仿宋_GBK"/>
                <w:color w:val="auto"/>
                <w:szCs w:val="21"/>
                <w:lang w:val="en-US" w:eastAsia="zh-CN"/>
              </w:rPr>
            </w:pPr>
          </w:p>
        </w:tc>
        <w:tc>
          <w:tcPr>
            <w:tcW w:w="1481" w:type="dxa"/>
            <w:shd w:val="clear" w:color="auto" w:fill="auto"/>
            <w:vAlign w:val="center"/>
          </w:tcPr>
          <w:p w14:paraId="137B6A56">
            <w:pPr>
              <w:widowControl/>
              <w:autoSpaceDE w:val="0"/>
              <w:autoSpaceDN w:val="0"/>
              <w:spacing w:line="280" w:lineRule="exact"/>
              <w:jc w:val="left"/>
              <w:rPr>
                <w:rFonts w:hint="eastAsia" w:ascii="Times New Roman" w:hAnsi="Times New Roman" w:eastAsia="仿宋_GB2312" w:cs="方正仿宋_GBK"/>
                <w:color w:val="auto"/>
                <w:szCs w:val="21"/>
                <w:lang w:val="en-US" w:eastAsia="zh-CN"/>
              </w:rPr>
            </w:pPr>
          </w:p>
        </w:tc>
        <w:tc>
          <w:tcPr>
            <w:tcW w:w="622" w:type="dxa"/>
            <w:vAlign w:val="center"/>
          </w:tcPr>
          <w:p w14:paraId="192F9142">
            <w:pPr>
              <w:widowControl/>
              <w:autoSpaceDE w:val="0"/>
              <w:autoSpaceDN w:val="0"/>
              <w:spacing w:line="280" w:lineRule="exact"/>
              <w:jc w:val="left"/>
              <w:rPr>
                <w:rFonts w:hint="eastAsia" w:ascii="Times New Roman" w:hAnsi="Times New Roman" w:eastAsia="仿宋_GB2312" w:cs="方正仿宋_GBK"/>
                <w:color w:val="auto"/>
                <w:szCs w:val="21"/>
                <w:lang w:val="en-US" w:eastAsia="zh-CN"/>
              </w:rPr>
            </w:pPr>
          </w:p>
        </w:tc>
      </w:tr>
      <w:tr w14:paraId="3A6DA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6" w:hRule="atLeast"/>
          <w:jc w:val="center"/>
        </w:trPr>
        <w:tc>
          <w:tcPr>
            <w:tcW w:w="536" w:type="dxa"/>
            <w:vAlign w:val="center"/>
          </w:tcPr>
          <w:p w14:paraId="3B2B2603">
            <w:pPr>
              <w:widowControl/>
              <w:autoSpaceDE w:val="0"/>
              <w:autoSpaceDN w:val="0"/>
              <w:spacing w:line="280" w:lineRule="exact"/>
              <w:jc w:val="center"/>
              <w:rPr>
                <w:rFonts w:hint="default" w:ascii="Times New Roman" w:hAnsi="Times New Roman" w:eastAsia="仿宋_GB2312" w:cs="方正仿宋_GBK"/>
                <w:color w:val="auto"/>
                <w:szCs w:val="21"/>
                <w:lang w:val="en-US" w:eastAsia="zh-CN"/>
              </w:rPr>
            </w:pPr>
            <w:r>
              <w:rPr>
                <w:rFonts w:hint="eastAsia" w:ascii="Times New Roman" w:hAnsi="Times New Roman" w:eastAsia="仿宋_GB2312" w:cs="方正仿宋_GBK"/>
                <w:color w:val="auto"/>
                <w:szCs w:val="21"/>
                <w:lang w:val="en-US" w:eastAsia="zh-CN"/>
              </w:rPr>
              <w:t>19</w:t>
            </w:r>
          </w:p>
        </w:tc>
        <w:tc>
          <w:tcPr>
            <w:tcW w:w="1324" w:type="dxa"/>
            <w:shd w:val="clear" w:color="auto" w:fill="auto"/>
            <w:vAlign w:val="center"/>
          </w:tcPr>
          <w:p w14:paraId="6F807CAD">
            <w:pPr>
              <w:widowControl/>
              <w:autoSpaceDE w:val="0"/>
              <w:autoSpaceDN w:val="0"/>
              <w:spacing w:line="280" w:lineRule="exact"/>
              <w:jc w:val="left"/>
              <w:rPr>
                <w:rFonts w:hint="eastAsia" w:ascii="Times New Roman" w:hAnsi="Times New Roman" w:eastAsia="仿宋_GB2312" w:cs="方正仿宋_GBK"/>
                <w:color w:val="auto"/>
                <w:szCs w:val="21"/>
                <w:lang w:val="en-US" w:eastAsia="zh-CN"/>
              </w:rPr>
            </w:pPr>
            <w:r>
              <w:rPr>
                <w:rFonts w:hint="eastAsia" w:ascii="Times New Roman" w:hAnsi="Times New Roman" w:eastAsia="仿宋_GB2312" w:cs="方正仿宋_GBK"/>
                <w:color w:val="auto"/>
                <w:szCs w:val="21"/>
                <w:lang w:val="en-US" w:eastAsia="zh-CN"/>
              </w:rPr>
              <w:t>对房产经纪机构信息公示情况的检查</w:t>
            </w:r>
          </w:p>
        </w:tc>
        <w:tc>
          <w:tcPr>
            <w:tcW w:w="794" w:type="dxa"/>
            <w:shd w:val="clear" w:color="auto" w:fill="auto"/>
            <w:vAlign w:val="center"/>
          </w:tcPr>
          <w:p w14:paraId="345281F5">
            <w:pPr>
              <w:widowControl/>
              <w:autoSpaceDE w:val="0"/>
              <w:autoSpaceDN w:val="0"/>
              <w:spacing w:line="280" w:lineRule="exact"/>
              <w:jc w:val="left"/>
              <w:rPr>
                <w:rFonts w:hint="eastAsia" w:ascii="Times New Roman" w:hAnsi="Times New Roman" w:eastAsia="仿宋_GB2312" w:cs="方正仿宋_GBK"/>
                <w:color w:val="auto"/>
                <w:szCs w:val="21"/>
                <w:lang w:val="en-US" w:eastAsia="zh-CN"/>
              </w:rPr>
            </w:pPr>
            <w:r>
              <w:rPr>
                <w:rFonts w:hint="eastAsia" w:ascii="Times New Roman" w:hAnsi="Times New Roman" w:eastAsia="仿宋_GB2312" w:cs="方正仿宋_GBK"/>
                <w:color w:val="auto"/>
                <w:szCs w:val="21"/>
                <w:lang w:val="en-US" w:eastAsia="zh-CN"/>
              </w:rPr>
              <w:t>苏州市相城区住房和城乡建设局</w:t>
            </w:r>
          </w:p>
        </w:tc>
        <w:tc>
          <w:tcPr>
            <w:tcW w:w="872" w:type="dxa"/>
            <w:shd w:val="clear" w:color="auto" w:fill="auto"/>
            <w:vAlign w:val="center"/>
          </w:tcPr>
          <w:p w14:paraId="1A6AF983">
            <w:pPr>
              <w:widowControl/>
              <w:autoSpaceDE w:val="0"/>
              <w:autoSpaceDN w:val="0"/>
              <w:spacing w:line="280" w:lineRule="exact"/>
              <w:jc w:val="left"/>
              <w:rPr>
                <w:rFonts w:hint="eastAsia" w:ascii="Times New Roman" w:hAnsi="Times New Roman" w:eastAsia="仿宋_GB2312" w:cs="方正仿宋_GBK"/>
                <w:color w:val="auto"/>
                <w:szCs w:val="21"/>
                <w:lang w:val="en-US" w:eastAsia="zh-CN"/>
              </w:rPr>
            </w:pPr>
            <w:r>
              <w:rPr>
                <w:rFonts w:hint="eastAsia" w:ascii="Times New Roman" w:hAnsi="Times New Roman" w:eastAsia="仿宋_GB2312" w:cs="方正仿宋_GBK"/>
                <w:color w:val="auto"/>
                <w:szCs w:val="21"/>
                <w:lang w:val="en-US" w:eastAsia="zh-CN"/>
              </w:rPr>
              <w:t>相城区房产交易中心</w:t>
            </w:r>
          </w:p>
        </w:tc>
        <w:tc>
          <w:tcPr>
            <w:tcW w:w="869" w:type="dxa"/>
            <w:shd w:val="clear" w:color="auto" w:fill="auto"/>
            <w:vAlign w:val="center"/>
          </w:tcPr>
          <w:p w14:paraId="35902ADA">
            <w:pPr>
              <w:widowControl/>
              <w:autoSpaceDE w:val="0"/>
              <w:autoSpaceDN w:val="0"/>
              <w:spacing w:line="280" w:lineRule="exact"/>
              <w:jc w:val="left"/>
              <w:rPr>
                <w:rFonts w:hint="eastAsia" w:ascii="Times New Roman" w:hAnsi="Times New Roman" w:eastAsia="仿宋_GB2312" w:cs="方正仿宋_GBK"/>
                <w:color w:val="auto"/>
                <w:szCs w:val="21"/>
                <w:lang w:val="en-US" w:eastAsia="zh-CN"/>
              </w:rPr>
            </w:pPr>
            <w:r>
              <w:rPr>
                <w:rFonts w:hint="eastAsia" w:ascii="Times New Roman" w:hAnsi="Times New Roman" w:eastAsia="仿宋_GB2312" w:cs="方正仿宋_GBK"/>
                <w:color w:val="auto"/>
                <w:szCs w:val="21"/>
                <w:lang w:val="en-US" w:eastAsia="zh-CN"/>
              </w:rPr>
              <w:t>房产经纪机构</w:t>
            </w:r>
          </w:p>
        </w:tc>
        <w:tc>
          <w:tcPr>
            <w:tcW w:w="4962" w:type="dxa"/>
            <w:shd w:val="clear" w:color="auto" w:fill="auto"/>
            <w:vAlign w:val="center"/>
          </w:tcPr>
          <w:p w14:paraId="7AC90DD9">
            <w:pPr>
              <w:keepNext w:val="0"/>
              <w:keepLines w:val="0"/>
              <w:pageBreakBefore w:val="0"/>
              <w:widowControl/>
              <w:kinsoku/>
              <w:wordWrap/>
              <w:overflowPunct/>
              <w:topLinePunct w:val="0"/>
              <w:autoSpaceDE w:val="0"/>
              <w:autoSpaceDN w:val="0"/>
              <w:bidi w:val="0"/>
              <w:adjustRightInd/>
              <w:snapToGrid/>
              <w:spacing w:line="240" w:lineRule="exact"/>
              <w:ind w:firstLine="420" w:firstLineChars="200"/>
              <w:jc w:val="left"/>
              <w:textAlignment w:val="auto"/>
              <w:rPr>
                <w:rFonts w:hint="eastAsia" w:ascii="Times New Roman" w:hAnsi="Times New Roman" w:eastAsia="仿宋_GB2312" w:cs="方正仿宋_GBK"/>
                <w:color w:val="auto"/>
                <w:szCs w:val="21"/>
                <w:lang w:val="en-US" w:eastAsia="zh-CN"/>
              </w:rPr>
            </w:pPr>
            <w:r>
              <w:rPr>
                <w:rFonts w:hint="eastAsia" w:ascii="Times New Roman" w:hAnsi="Times New Roman" w:eastAsia="仿宋_GB2312" w:cs="方正仿宋_GBK"/>
                <w:color w:val="auto"/>
                <w:szCs w:val="21"/>
                <w:lang w:val="en-US" w:eastAsia="zh-CN"/>
              </w:rPr>
              <w:t>（六）信用档案查询方式、投诉电话及12358价格举报电话；</w:t>
            </w:r>
          </w:p>
          <w:p w14:paraId="7CF0C5A2">
            <w:pPr>
              <w:keepNext w:val="0"/>
              <w:keepLines w:val="0"/>
              <w:pageBreakBefore w:val="0"/>
              <w:widowControl/>
              <w:kinsoku/>
              <w:wordWrap/>
              <w:overflowPunct/>
              <w:topLinePunct w:val="0"/>
              <w:autoSpaceDE w:val="0"/>
              <w:autoSpaceDN w:val="0"/>
              <w:bidi w:val="0"/>
              <w:adjustRightInd/>
              <w:snapToGrid/>
              <w:spacing w:line="240" w:lineRule="exact"/>
              <w:ind w:firstLine="420" w:firstLineChars="200"/>
              <w:jc w:val="left"/>
              <w:textAlignment w:val="auto"/>
              <w:rPr>
                <w:rFonts w:hint="eastAsia" w:ascii="Times New Roman" w:hAnsi="Times New Roman" w:eastAsia="仿宋_GB2312" w:cs="方正仿宋_GBK"/>
                <w:color w:val="auto"/>
                <w:szCs w:val="21"/>
                <w:lang w:val="en-US" w:eastAsia="zh-CN"/>
              </w:rPr>
            </w:pPr>
            <w:r>
              <w:rPr>
                <w:rFonts w:hint="eastAsia" w:ascii="Times New Roman" w:hAnsi="Times New Roman" w:eastAsia="仿宋_GB2312" w:cs="方正仿宋_GBK"/>
                <w:color w:val="auto"/>
                <w:szCs w:val="21"/>
                <w:lang w:val="en-US" w:eastAsia="zh-CN"/>
              </w:rPr>
              <w:t>（七）政府主管部门或者行业组织制定的房地产经纪服务合同、房屋买卖合同、房屋租赁合同示范文本；</w:t>
            </w:r>
          </w:p>
          <w:p w14:paraId="1F0524DD">
            <w:pPr>
              <w:keepNext w:val="0"/>
              <w:keepLines w:val="0"/>
              <w:pageBreakBefore w:val="0"/>
              <w:widowControl/>
              <w:kinsoku/>
              <w:wordWrap/>
              <w:overflowPunct/>
              <w:topLinePunct w:val="0"/>
              <w:autoSpaceDE w:val="0"/>
              <w:autoSpaceDN w:val="0"/>
              <w:bidi w:val="0"/>
              <w:adjustRightInd/>
              <w:snapToGrid/>
              <w:spacing w:line="240" w:lineRule="exact"/>
              <w:ind w:firstLine="420" w:firstLineChars="200"/>
              <w:jc w:val="left"/>
              <w:textAlignment w:val="auto"/>
              <w:rPr>
                <w:rFonts w:hint="eastAsia" w:ascii="Times New Roman" w:hAnsi="Times New Roman" w:eastAsia="仿宋_GB2312" w:cs="方正仿宋_GBK"/>
                <w:color w:val="auto"/>
                <w:szCs w:val="21"/>
                <w:lang w:val="en-US" w:eastAsia="zh-CN"/>
              </w:rPr>
            </w:pPr>
            <w:r>
              <w:rPr>
                <w:rFonts w:hint="eastAsia" w:ascii="Times New Roman" w:hAnsi="Times New Roman" w:eastAsia="仿宋_GB2312" w:cs="方正仿宋_GBK"/>
                <w:color w:val="auto"/>
                <w:szCs w:val="21"/>
                <w:lang w:val="en-US" w:eastAsia="zh-CN"/>
              </w:rPr>
              <w:t>（八）法律、法规、规章规定的其他事项。分支机构还应当公示设立该分支机构的房地产经纪机构的经营地址及联系方式。</w:t>
            </w:r>
          </w:p>
          <w:p w14:paraId="1C4A1771">
            <w:pPr>
              <w:keepNext w:val="0"/>
              <w:keepLines w:val="0"/>
              <w:pageBreakBefore w:val="0"/>
              <w:widowControl/>
              <w:kinsoku/>
              <w:wordWrap/>
              <w:overflowPunct/>
              <w:topLinePunct w:val="0"/>
              <w:autoSpaceDE w:val="0"/>
              <w:autoSpaceDN w:val="0"/>
              <w:bidi w:val="0"/>
              <w:adjustRightInd/>
              <w:snapToGrid/>
              <w:spacing w:line="240" w:lineRule="exact"/>
              <w:ind w:firstLine="420" w:firstLineChars="200"/>
              <w:jc w:val="left"/>
              <w:textAlignment w:val="auto"/>
              <w:rPr>
                <w:rFonts w:hint="eastAsia" w:ascii="Times New Roman" w:hAnsi="Times New Roman" w:eastAsia="仿宋_GB2312" w:cs="方正仿宋_GBK"/>
                <w:color w:val="auto"/>
                <w:szCs w:val="21"/>
                <w:lang w:val="en-US" w:eastAsia="zh-CN"/>
              </w:rPr>
            </w:pPr>
            <w:r>
              <w:rPr>
                <w:rFonts w:hint="eastAsia" w:ascii="Times New Roman" w:hAnsi="Times New Roman" w:eastAsia="仿宋_GB2312" w:cs="方正仿宋_GBK"/>
                <w:color w:val="auto"/>
                <w:szCs w:val="21"/>
                <w:lang w:val="en-US" w:eastAsia="zh-CN"/>
              </w:rPr>
              <w:t>房地产经纪机构代理销售商品房项目的，还应当在销售现场明显位置明示商品房销售委托书和批准销售商品房的有关证明文件。</w:t>
            </w:r>
          </w:p>
          <w:p w14:paraId="5AAE1205">
            <w:pPr>
              <w:keepNext w:val="0"/>
              <w:keepLines w:val="0"/>
              <w:pageBreakBefore w:val="0"/>
              <w:widowControl/>
              <w:kinsoku/>
              <w:wordWrap/>
              <w:overflowPunct/>
              <w:topLinePunct w:val="0"/>
              <w:autoSpaceDE w:val="0"/>
              <w:autoSpaceDN w:val="0"/>
              <w:bidi w:val="0"/>
              <w:adjustRightInd/>
              <w:snapToGrid/>
              <w:spacing w:line="240" w:lineRule="exact"/>
              <w:jc w:val="left"/>
              <w:textAlignment w:val="auto"/>
              <w:rPr>
                <w:rFonts w:hint="eastAsia" w:ascii="Times New Roman" w:hAnsi="Times New Roman" w:eastAsia="仿宋_GB2312" w:cs="方正仿宋_GBK"/>
                <w:color w:val="auto"/>
                <w:szCs w:val="21"/>
                <w:lang w:val="en-US" w:eastAsia="zh-CN"/>
              </w:rPr>
            </w:pPr>
            <w:r>
              <w:rPr>
                <w:rFonts w:hint="eastAsia" w:ascii="Times New Roman" w:hAnsi="Times New Roman" w:eastAsia="仿宋_GB2312" w:cs="方正仿宋_GBK"/>
                <w:color w:val="auto"/>
                <w:szCs w:val="21"/>
                <w:lang w:val="en-US" w:eastAsia="zh-CN"/>
              </w:rPr>
              <w:t>【部门文件】《市住房城乡建设局关于进一步加强房地产经纪服务管理的通知》（苏住建房〔2025〕17号）</w:t>
            </w:r>
          </w:p>
          <w:p w14:paraId="48E995C8">
            <w:pPr>
              <w:keepNext w:val="0"/>
              <w:keepLines w:val="0"/>
              <w:pageBreakBefore w:val="0"/>
              <w:widowControl/>
              <w:kinsoku/>
              <w:wordWrap/>
              <w:overflowPunct/>
              <w:topLinePunct w:val="0"/>
              <w:autoSpaceDE w:val="0"/>
              <w:autoSpaceDN w:val="0"/>
              <w:bidi w:val="0"/>
              <w:adjustRightInd/>
              <w:snapToGrid/>
              <w:spacing w:line="240" w:lineRule="exact"/>
              <w:ind w:firstLine="420" w:firstLineChars="200"/>
              <w:jc w:val="left"/>
              <w:textAlignment w:val="auto"/>
              <w:rPr>
                <w:rFonts w:hint="eastAsia" w:ascii="Times New Roman" w:hAnsi="Times New Roman" w:eastAsia="仿宋_GB2312" w:cs="方正仿宋_GBK"/>
                <w:color w:val="auto"/>
                <w:szCs w:val="21"/>
                <w:lang w:val="en-US" w:eastAsia="zh-CN"/>
              </w:rPr>
            </w:pPr>
            <w:r>
              <w:rPr>
                <w:rFonts w:hint="eastAsia" w:ascii="Times New Roman" w:hAnsi="Times New Roman" w:eastAsia="仿宋_GB2312" w:cs="方正仿宋_GBK"/>
                <w:color w:val="auto"/>
                <w:szCs w:val="21"/>
                <w:lang w:val="en-US" w:eastAsia="zh-CN"/>
              </w:rPr>
              <w:t>各县级市（区）住建局（委）、苏州工业园区规建委，房地产经纪行业协会，各房地产经纪机构、房地产开发企业、物业服务企业：</w:t>
            </w:r>
          </w:p>
          <w:p w14:paraId="3E22AA56">
            <w:pPr>
              <w:keepNext w:val="0"/>
              <w:keepLines w:val="0"/>
              <w:pageBreakBefore w:val="0"/>
              <w:widowControl/>
              <w:kinsoku/>
              <w:wordWrap/>
              <w:overflowPunct/>
              <w:topLinePunct w:val="0"/>
              <w:autoSpaceDE w:val="0"/>
              <w:autoSpaceDN w:val="0"/>
              <w:bidi w:val="0"/>
              <w:adjustRightInd/>
              <w:snapToGrid/>
              <w:spacing w:line="240" w:lineRule="exact"/>
              <w:ind w:firstLine="420" w:firstLineChars="200"/>
              <w:jc w:val="left"/>
              <w:textAlignment w:val="auto"/>
              <w:rPr>
                <w:rFonts w:hint="eastAsia" w:ascii="Times New Roman" w:hAnsi="Times New Roman" w:eastAsia="仿宋_GB2312" w:cs="方正仿宋_GBK"/>
                <w:color w:val="auto"/>
                <w:szCs w:val="21"/>
                <w:lang w:val="en-US" w:eastAsia="zh-CN"/>
              </w:rPr>
            </w:pPr>
            <w:r>
              <w:rPr>
                <w:rFonts w:hint="eastAsia" w:ascii="Times New Roman" w:hAnsi="Times New Roman" w:eastAsia="仿宋_GB2312" w:cs="方正仿宋_GBK"/>
                <w:color w:val="auto"/>
                <w:szCs w:val="21"/>
                <w:lang w:val="en-US" w:eastAsia="zh-CN"/>
              </w:rPr>
              <w:t>为进一步贯彻落实住房城乡建设部市场监管总局《关于规范房地产经纪服务的意见》，切实加强房地产经纪行业监管，强化信用管理效能，现就有关事项通知如下：</w:t>
            </w:r>
          </w:p>
          <w:p w14:paraId="40B89D83">
            <w:pPr>
              <w:keepNext w:val="0"/>
              <w:keepLines w:val="0"/>
              <w:pageBreakBefore w:val="0"/>
              <w:widowControl/>
              <w:kinsoku/>
              <w:wordWrap/>
              <w:overflowPunct/>
              <w:topLinePunct w:val="0"/>
              <w:autoSpaceDE w:val="0"/>
              <w:autoSpaceDN w:val="0"/>
              <w:bidi w:val="0"/>
              <w:adjustRightInd/>
              <w:snapToGrid/>
              <w:spacing w:line="240" w:lineRule="exact"/>
              <w:ind w:firstLine="420" w:firstLineChars="200"/>
              <w:jc w:val="left"/>
              <w:textAlignment w:val="auto"/>
              <w:rPr>
                <w:rFonts w:hint="eastAsia" w:ascii="Times New Roman" w:hAnsi="Times New Roman" w:eastAsia="仿宋_GB2312" w:cs="方正仿宋_GBK"/>
                <w:color w:val="auto"/>
                <w:szCs w:val="21"/>
                <w:lang w:val="en-US" w:eastAsia="zh-CN"/>
              </w:rPr>
            </w:pPr>
            <w:r>
              <w:rPr>
                <w:rFonts w:hint="eastAsia" w:ascii="Times New Roman" w:hAnsi="Times New Roman" w:eastAsia="仿宋_GB2312" w:cs="方正仿宋_GBK"/>
                <w:color w:val="auto"/>
                <w:szCs w:val="21"/>
                <w:lang w:val="en-US" w:eastAsia="zh-CN"/>
              </w:rPr>
              <w:t>一、加强信息公示、房源发布与实名服务管理</w:t>
            </w:r>
          </w:p>
          <w:p w14:paraId="002D3B03">
            <w:pPr>
              <w:keepNext w:val="0"/>
              <w:keepLines w:val="0"/>
              <w:pageBreakBefore w:val="0"/>
              <w:widowControl/>
              <w:kinsoku/>
              <w:wordWrap/>
              <w:overflowPunct/>
              <w:topLinePunct w:val="0"/>
              <w:autoSpaceDE w:val="0"/>
              <w:autoSpaceDN w:val="0"/>
              <w:bidi w:val="0"/>
              <w:adjustRightInd/>
              <w:snapToGrid/>
              <w:spacing w:line="240" w:lineRule="exact"/>
              <w:ind w:firstLine="420" w:firstLineChars="200"/>
              <w:jc w:val="left"/>
              <w:textAlignment w:val="auto"/>
              <w:rPr>
                <w:rFonts w:hint="eastAsia" w:ascii="Times New Roman" w:hAnsi="Times New Roman" w:eastAsia="仿宋_GB2312" w:cs="方正仿宋_GBK"/>
                <w:color w:val="auto"/>
                <w:szCs w:val="21"/>
                <w:lang w:val="en-US" w:eastAsia="zh-CN"/>
              </w:rPr>
            </w:pPr>
            <w:r>
              <w:rPr>
                <w:rFonts w:hint="eastAsia" w:ascii="Times New Roman" w:hAnsi="Times New Roman" w:eastAsia="仿宋_GB2312" w:cs="方正仿宋_GBK"/>
                <w:color w:val="auto"/>
                <w:szCs w:val="21"/>
                <w:lang w:val="en-US" w:eastAsia="zh-CN"/>
              </w:rPr>
              <w:t>1.强化门店信息公示</w:t>
            </w:r>
          </w:p>
          <w:p w14:paraId="272D8FCD">
            <w:pPr>
              <w:keepNext w:val="0"/>
              <w:keepLines w:val="0"/>
              <w:pageBreakBefore w:val="0"/>
              <w:widowControl/>
              <w:kinsoku/>
              <w:wordWrap/>
              <w:overflowPunct/>
              <w:topLinePunct w:val="0"/>
              <w:autoSpaceDE w:val="0"/>
              <w:autoSpaceDN w:val="0"/>
              <w:bidi w:val="0"/>
              <w:adjustRightInd/>
              <w:snapToGrid/>
              <w:spacing w:line="240" w:lineRule="exact"/>
              <w:ind w:firstLine="420" w:firstLineChars="200"/>
              <w:jc w:val="left"/>
              <w:textAlignment w:val="auto"/>
              <w:rPr>
                <w:rFonts w:hint="eastAsia" w:ascii="Times New Roman" w:hAnsi="Times New Roman" w:eastAsia="仿宋_GB2312" w:cs="方正仿宋_GBK"/>
                <w:color w:val="auto"/>
                <w:szCs w:val="21"/>
                <w:lang w:val="en-US" w:eastAsia="zh-CN"/>
              </w:rPr>
            </w:pPr>
            <w:r>
              <w:rPr>
                <w:rFonts w:hint="eastAsia" w:ascii="Times New Roman" w:hAnsi="Times New Roman" w:eastAsia="仿宋_GB2312" w:cs="方正仿宋_GBK"/>
                <w:color w:val="auto"/>
                <w:szCs w:val="21"/>
                <w:lang w:val="en-US" w:eastAsia="zh-CN"/>
              </w:rPr>
              <w:t>房地产经纪机构须在经营场所的醒目位置，公示营业执照、有效入网信息、信用评定结果、信用档案查询平台网址、经纪服务人员信息卡、交易流程、收费标准、服务承诺及举报投诉电话等。县级市（区）住建部门应加大“双随机、一公开”检查力度，对未按要求公示或公示信息失实的，按次数记载不良信用信息。</w:t>
            </w:r>
          </w:p>
        </w:tc>
        <w:tc>
          <w:tcPr>
            <w:tcW w:w="992" w:type="dxa"/>
            <w:shd w:val="clear" w:color="auto" w:fill="auto"/>
            <w:vAlign w:val="center"/>
          </w:tcPr>
          <w:p w14:paraId="3BB4F872">
            <w:pPr>
              <w:widowControl/>
              <w:autoSpaceDE w:val="0"/>
              <w:autoSpaceDN w:val="0"/>
              <w:spacing w:line="280" w:lineRule="exact"/>
              <w:jc w:val="center"/>
              <w:rPr>
                <w:rFonts w:hint="eastAsia" w:ascii="Times New Roman" w:hAnsi="Times New Roman" w:eastAsia="仿宋_GB2312" w:cs="方正仿宋_GBK"/>
                <w:color w:val="auto"/>
                <w:szCs w:val="21"/>
              </w:rPr>
            </w:pPr>
            <w:r>
              <w:rPr>
                <w:rFonts w:hint="eastAsia" w:ascii="Times New Roman" w:hAnsi="Times New Roman" w:eastAsia="仿宋_GB2312" w:cs="方正仿宋_GBK"/>
                <w:color w:val="auto"/>
                <w:szCs w:val="21"/>
              </w:rPr>
              <w:t>现场</w:t>
            </w:r>
          </w:p>
          <w:p w14:paraId="3F2ED85B">
            <w:pPr>
              <w:widowControl/>
              <w:autoSpaceDE w:val="0"/>
              <w:autoSpaceDN w:val="0"/>
              <w:spacing w:line="280" w:lineRule="exact"/>
              <w:jc w:val="center"/>
              <w:rPr>
                <w:rFonts w:hint="eastAsia" w:ascii="Times New Roman" w:hAnsi="Times New Roman" w:eastAsia="仿宋_GB2312" w:cs="方正仿宋_GBK"/>
                <w:color w:val="auto"/>
                <w:szCs w:val="21"/>
                <w:lang w:val="en-US" w:eastAsia="zh-CN"/>
              </w:rPr>
            </w:pPr>
            <w:r>
              <w:rPr>
                <w:rFonts w:hint="eastAsia" w:ascii="Times New Roman" w:hAnsi="Times New Roman" w:eastAsia="仿宋_GB2312" w:cs="方正仿宋_GBK"/>
                <w:color w:val="auto"/>
                <w:szCs w:val="21"/>
              </w:rPr>
              <w:t>检查</w:t>
            </w:r>
          </w:p>
        </w:tc>
        <w:tc>
          <w:tcPr>
            <w:tcW w:w="1139" w:type="dxa"/>
            <w:shd w:val="clear" w:color="auto" w:fill="auto"/>
            <w:vAlign w:val="center"/>
          </w:tcPr>
          <w:p w14:paraId="2D202720">
            <w:pPr>
              <w:widowControl/>
              <w:autoSpaceDE w:val="0"/>
              <w:autoSpaceDN w:val="0"/>
              <w:spacing w:line="280" w:lineRule="exact"/>
              <w:jc w:val="center"/>
              <w:rPr>
                <w:rFonts w:hint="eastAsia" w:ascii="Times New Roman" w:hAnsi="Times New Roman" w:eastAsia="仿宋_GB2312" w:cs="方正仿宋_GBK"/>
                <w:color w:val="auto"/>
                <w:szCs w:val="21"/>
                <w:lang w:val="en-US" w:eastAsia="zh-CN"/>
              </w:rPr>
            </w:pPr>
            <w:r>
              <w:rPr>
                <w:rFonts w:hint="eastAsia" w:ascii="Times New Roman" w:hAnsi="Times New Roman" w:eastAsia="仿宋_GB2312" w:cs="方正仿宋_GBK"/>
                <w:color w:val="auto"/>
                <w:szCs w:val="21"/>
                <w:lang w:val="en-US" w:eastAsia="zh-CN"/>
              </w:rPr>
              <w:t>双随机</w:t>
            </w:r>
          </w:p>
        </w:tc>
        <w:tc>
          <w:tcPr>
            <w:tcW w:w="1491" w:type="dxa"/>
            <w:shd w:val="clear" w:color="auto" w:fill="auto"/>
            <w:vAlign w:val="center"/>
          </w:tcPr>
          <w:p w14:paraId="5E16B575">
            <w:pPr>
              <w:widowControl/>
              <w:autoSpaceDE w:val="0"/>
              <w:autoSpaceDN w:val="0"/>
              <w:spacing w:line="280" w:lineRule="exact"/>
              <w:jc w:val="left"/>
              <w:rPr>
                <w:rFonts w:hint="eastAsia" w:ascii="Times New Roman" w:hAnsi="Times New Roman" w:eastAsia="仿宋_GB2312" w:cs="方正仿宋_GBK"/>
                <w:color w:val="auto"/>
                <w:szCs w:val="21"/>
                <w:lang w:val="en-US" w:eastAsia="zh-CN"/>
              </w:rPr>
            </w:pPr>
          </w:p>
        </w:tc>
        <w:tc>
          <w:tcPr>
            <w:tcW w:w="1481" w:type="dxa"/>
            <w:shd w:val="clear" w:color="auto" w:fill="auto"/>
            <w:vAlign w:val="center"/>
          </w:tcPr>
          <w:p w14:paraId="5F4EC2A8">
            <w:pPr>
              <w:widowControl/>
              <w:autoSpaceDE w:val="0"/>
              <w:autoSpaceDN w:val="0"/>
              <w:spacing w:line="280" w:lineRule="exact"/>
              <w:jc w:val="left"/>
              <w:rPr>
                <w:rFonts w:hint="eastAsia" w:ascii="Times New Roman" w:hAnsi="Times New Roman" w:eastAsia="仿宋_GB2312" w:cs="方正仿宋_GBK"/>
                <w:color w:val="auto"/>
                <w:szCs w:val="21"/>
                <w:lang w:val="en-US" w:eastAsia="zh-CN"/>
              </w:rPr>
            </w:pPr>
          </w:p>
        </w:tc>
        <w:tc>
          <w:tcPr>
            <w:tcW w:w="622" w:type="dxa"/>
            <w:vAlign w:val="center"/>
          </w:tcPr>
          <w:p w14:paraId="7B76B01D">
            <w:pPr>
              <w:widowControl/>
              <w:autoSpaceDE w:val="0"/>
              <w:autoSpaceDN w:val="0"/>
              <w:spacing w:line="280" w:lineRule="exact"/>
              <w:jc w:val="left"/>
              <w:rPr>
                <w:rFonts w:hint="eastAsia" w:ascii="Times New Roman" w:hAnsi="Times New Roman" w:eastAsia="仿宋_GB2312" w:cs="方正仿宋_GBK"/>
                <w:color w:val="auto"/>
                <w:szCs w:val="21"/>
                <w:lang w:val="en-US" w:eastAsia="zh-CN"/>
              </w:rPr>
            </w:pPr>
          </w:p>
        </w:tc>
      </w:tr>
    </w:tbl>
    <w:p w14:paraId="5B074FC4">
      <w:pPr>
        <w:spacing w:line="280" w:lineRule="exact"/>
        <w:rPr>
          <w:rFonts w:hint="eastAsia" w:ascii="仿宋_GB2312" w:hAnsi="仿宋_GB2312" w:eastAsia="仿宋_GB2312" w:cs="仿宋_GB2312"/>
          <w:szCs w:val="21"/>
        </w:rPr>
      </w:pPr>
    </w:p>
    <w:p w14:paraId="01E7FE80">
      <w:pPr>
        <w:pStyle w:val="4"/>
        <w:rPr>
          <w:rFonts w:ascii="Times New Roman" w:hAnsi="Times New Roman" w:eastAsia="仿宋_GB2312"/>
          <w:szCs w:val="21"/>
        </w:rPr>
      </w:pPr>
      <w:r>
        <w:rPr>
          <w:rFonts w:hint="eastAsia" w:ascii="仿宋_GB2312" w:hAnsi="仿宋_GB2312" w:eastAsia="仿宋_GB2312" w:cs="仿宋_GB2312"/>
          <w:szCs w:val="21"/>
          <w:lang w:eastAsia="zh-CN"/>
        </w:rPr>
        <w:t>备注：清单中不含</w:t>
      </w:r>
      <w:r>
        <w:rPr>
          <w:rFonts w:hint="eastAsia" w:ascii="仿宋_GB2312" w:hAnsi="仿宋_GB2312" w:eastAsia="仿宋_GB2312" w:cs="仿宋_GB2312"/>
          <w:szCs w:val="21"/>
          <w:lang w:val="en-US" w:eastAsia="zh-CN"/>
        </w:rPr>
        <w:t>上级主管部门要求的专项检查、重点时期针对性检查以及接到举报投诉后的核实检查</w:t>
      </w:r>
      <w:r>
        <w:rPr>
          <w:rFonts w:hint="eastAsia" w:ascii="仿宋_GB2312" w:hAnsi="仿宋_GB2312" w:eastAsia="仿宋_GB2312" w:cs="仿宋_GB2312"/>
          <w:szCs w:val="21"/>
          <w:lang w:eastAsia="zh-CN"/>
        </w:rPr>
        <w:t>。</w:t>
      </w:r>
      <w:r>
        <w:rPr>
          <w:rFonts w:hint="eastAsia" w:ascii="仿宋_GB2312" w:hAnsi="仿宋_GB2312" w:eastAsia="仿宋_GB2312" w:cs="仿宋_GB2312"/>
          <w:szCs w:val="21"/>
          <w:lang w:val="en-US" w:eastAsia="zh-CN"/>
        </w:rPr>
        <w:t>清单内容如与法律法规规章和上级规定相冲突的，从其规定。</w:t>
      </w:r>
    </w:p>
    <w:sectPr>
      <w:footerReference r:id="rId3" w:type="default"/>
      <w:pgSz w:w="16838" w:h="11906" w:orient="landscape"/>
      <w:pgMar w:top="1361" w:right="1304" w:bottom="1304" w:left="1304" w:header="737" w:footer="680"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embedRegular r:id="rId1" w:fontKey="{CA0D8A00-D584-42BF-A5EF-5D633F196324}"/>
  </w:font>
  <w:font w:name="方正小标宋简体">
    <w:panose1 w:val="02000000000000000000"/>
    <w:charset w:val="86"/>
    <w:family w:val="auto"/>
    <w:pitch w:val="default"/>
    <w:sig w:usb0="00000001" w:usb1="080E0000" w:usb2="00000000" w:usb3="00000000" w:csb0="00040000" w:csb1="00000000"/>
    <w:embedRegular r:id="rId2" w:fontKey="{E5178200-2EED-42EA-AD05-E5BE1A9A0D6E}"/>
  </w:font>
  <w:font w:name="仿宋_GB2312">
    <w:panose1 w:val="02010609030101010101"/>
    <w:charset w:val="86"/>
    <w:family w:val="modern"/>
    <w:pitch w:val="default"/>
    <w:sig w:usb0="00000001" w:usb1="080E0000" w:usb2="00000000" w:usb3="00000000" w:csb0="00040000" w:csb1="00000000"/>
    <w:embedRegular r:id="rId3" w:fontKey="{395953B7-5C3B-41E6-8981-C8FFC1153050}"/>
  </w:font>
  <w:font w:name="方正仿宋_GBK">
    <w:panose1 w:val="02000000000000000000"/>
    <w:charset w:val="86"/>
    <w:family w:val="script"/>
    <w:pitch w:val="default"/>
    <w:sig w:usb0="A00002BF" w:usb1="38CF7CFA" w:usb2="00082016" w:usb3="00000000" w:csb0="00040001" w:csb1="00000000"/>
    <w:embedRegular r:id="rId4" w:fontKey="{4CF4D6C2-82E5-447B-9EAC-922D9ACB58D7}"/>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014796476"/>
      <w:docPartObj>
        <w:docPartGallery w:val="autotext"/>
      </w:docPartObj>
    </w:sdtPr>
    <w:sdtEndPr>
      <w:rPr>
        <w:rFonts w:asciiTheme="minorEastAsia" w:hAnsiTheme="minorEastAsia" w:eastAsiaTheme="minorEastAsia"/>
        <w:sz w:val="28"/>
        <w:szCs w:val="28"/>
      </w:rPr>
    </w:sdtEndPr>
    <w:sdtContent>
      <w:p w14:paraId="5864AFDB">
        <w:pPr>
          <w:pStyle w:val="5"/>
          <w:jc w:val="center"/>
          <w:rPr>
            <w:rFonts w:asciiTheme="minorEastAsia" w:hAnsiTheme="minorEastAsia" w:eastAsiaTheme="minorEastAsia"/>
            <w:sz w:val="28"/>
            <w:szCs w:val="28"/>
          </w:rPr>
        </w:pPr>
        <w:r>
          <w:rPr>
            <w:rFonts w:asciiTheme="minorEastAsia" w:hAnsiTheme="minorEastAsia" w:eastAsiaTheme="minorEastAsia"/>
            <w:sz w:val="28"/>
            <w:szCs w:val="28"/>
          </w:rPr>
          <w:fldChar w:fldCharType="begin"/>
        </w:r>
        <w:r>
          <w:rPr>
            <w:rFonts w:asciiTheme="minorEastAsia" w:hAnsiTheme="minorEastAsia" w:eastAsiaTheme="minorEastAsia"/>
            <w:sz w:val="28"/>
            <w:szCs w:val="28"/>
          </w:rPr>
          <w:instrText xml:space="preserve">PAGE   \* MERGEFORMAT</w:instrText>
        </w:r>
        <w:r>
          <w:rPr>
            <w:rFonts w:asciiTheme="minorEastAsia" w:hAnsiTheme="minorEastAsia" w:eastAsiaTheme="minorEastAsia"/>
            <w:sz w:val="28"/>
            <w:szCs w:val="28"/>
          </w:rPr>
          <w:fldChar w:fldCharType="separate"/>
        </w:r>
        <w:r>
          <w:rPr>
            <w:rFonts w:asciiTheme="minorEastAsia" w:hAnsiTheme="minorEastAsia" w:eastAsiaTheme="minorEastAsia"/>
            <w:sz w:val="28"/>
            <w:szCs w:val="28"/>
            <w:lang w:val="zh-CN"/>
          </w:rPr>
          <w:t>-</w:t>
        </w:r>
        <w:r>
          <w:rPr>
            <w:rFonts w:asciiTheme="minorEastAsia" w:hAnsiTheme="minorEastAsia" w:eastAsiaTheme="minorEastAsia"/>
            <w:sz w:val="28"/>
            <w:szCs w:val="28"/>
          </w:rPr>
          <w:t xml:space="preserve"> 114 -</w:t>
        </w:r>
        <w:r>
          <w:rPr>
            <w:rFonts w:asciiTheme="minorEastAsia" w:hAnsiTheme="minorEastAsia" w:eastAsiaTheme="minorEastAsia"/>
            <w:sz w:val="28"/>
            <w:szCs w:val="28"/>
          </w:rPr>
          <w:fldChar w:fldCharType="end"/>
        </w:r>
      </w:p>
    </w:sdtContent>
  </w:sdt>
  <w:p w14:paraId="10B5B393">
    <w:pPr>
      <w:pStyle w:val="5"/>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ACEA82C"/>
    <w:multiLevelType w:val="singleLevel"/>
    <w:tmpl w:val="8ACEA82C"/>
    <w:lvl w:ilvl="0" w:tentative="0">
      <w:start w:val="1"/>
      <w:numFmt w:val="chineseCounting"/>
      <w:suff w:val="nothing"/>
      <w:lvlText w:val="（%1）"/>
      <w:lvlJc w:val="left"/>
      <w:rPr>
        <w:rFonts w:hint="eastAsia"/>
      </w:rPr>
    </w:lvl>
  </w:abstractNum>
  <w:abstractNum w:abstractNumId="1">
    <w:nsid w:val="F9AE0EDB"/>
    <w:multiLevelType w:val="singleLevel"/>
    <w:tmpl w:val="F9AE0EDB"/>
    <w:lvl w:ilvl="0" w:tentative="0">
      <w:start w:val="1"/>
      <w:numFmt w:val="chineseCounting"/>
      <w:suff w:val="nothing"/>
      <w:lvlText w:val="（%1）"/>
      <w:lvlJc w:val="left"/>
      <w:rPr>
        <w:rFonts w:hint="eastAsia"/>
      </w:rPr>
    </w:lvl>
  </w:abstractNum>
  <w:abstractNum w:abstractNumId="2">
    <w:nsid w:val="62789FDA"/>
    <w:multiLevelType w:val="singleLevel"/>
    <w:tmpl w:val="62789FDA"/>
    <w:lvl w:ilvl="0" w:tentative="0">
      <w:start w:val="1"/>
      <w:numFmt w:val="chineseCounting"/>
      <w:suff w:val="nothing"/>
      <w:lvlText w:val="（%1）"/>
      <w:lvlJc w:val="left"/>
      <w:rPr>
        <w:rFonts w:hint="eastAsia"/>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hideSpellingErrors/>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BjMjA5ZDAzY2FmZjAzNGU1NzM2NzlmZjM3YTkyNWQifQ=="/>
  </w:docVars>
  <w:rsids>
    <w:rsidRoot w:val="7BFA2FCE"/>
    <w:rsid w:val="00002266"/>
    <w:rsid w:val="00004E28"/>
    <w:rsid w:val="000C1D30"/>
    <w:rsid w:val="000D7384"/>
    <w:rsid w:val="000F6735"/>
    <w:rsid w:val="001147EF"/>
    <w:rsid w:val="00114A13"/>
    <w:rsid w:val="0018721F"/>
    <w:rsid w:val="00192AFC"/>
    <w:rsid w:val="001E2B61"/>
    <w:rsid w:val="00251CB2"/>
    <w:rsid w:val="00295CE8"/>
    <w:rsid w:val="002C6735"/>
    <w:rsid w:val="002F5ACC"/>
    <w:rsid w:val="003058D4"/>
    <w:rsid w:val="003204A1"/>
    <w:rsid w:val="00351258"/>
    <w:rsid w:val="00373381"/>
    <w:rsid w:val="00377CF1"/>
    <w:rsid w:val="00386342"/>
    <w:rsid w:val="003A07FC"/>
    <w:rsid w:val="00435867"/>
    <w:rsid w:val="00495734"/>
    <w:rsid w:val="004D151A"/>
    <w:rsid w:val="004D3C03"/>
    <w:rsid w:val="005009EC"/>
    <w:rsid w:val="00515028"/>
    <w:rsid w:val="005373E8"/>
    <w:rsid w:val="00557F63"/>
    <w:rsid w:val="00563572"/>
    <w:rsid w:val="005721F6"/>
    <w:rsid w:val="00595611"/>
    <w:rsid w:val="00692449"/>
    <w:rsid w:val="006934EA"/>
    <w:rsid w:val="007040F0"/>
    <w:rsid w:val="00716A09"/>
    <w:rsid w:val="00744E70"/>
    <w:rsid w:val="00773FCF"/>
    <w:rsid w:val="0078703D"/>
    <w:rsid w:val="0079696A"/>
    <w:rsid w:val="007B2F34"/>
    <w:rsid w:val="007B3A62"/>
    <w:rsid w:val="007F2BFF"/>
    <w:rsid w:val="008B65CB"/>
    <w:rsid w:val="008D2C5D"/>
    <w:rsid w:val="008E12E2"/>
    <w:rsid w:val="00900D7E"/>
    <w:rsid w:val="009069EA"/>
    <w:rsid w:val="00906FC4"/>
    <w:rsid w:val="00915C94"/>
    <w:rsid w:val="00934577"/>
    <w:rsid w:val="0096549A"/>
    <w:rsid w:val="00995280"/>
    <w:rsid w:val="009C1EF4"/>
    <w:rsid w:val="009C4889"/>
    <w:rsid w:val="009C48C5"/>
    <w:rsid w:val="00A10650"/>
    <w:rsid w:val="00A172A1"/>
    <w:rsid w:val="00A202D4"/>
    <w:rsid w:val="00A4468C"/>
    <w:rsid w:val="00A703B1"/>
    <w:rsid w:val="00A80D52"/>
    <w:rsid w:val="00A86534"/>
    <w:rsid w:val="00A86949"/>
    <w:rsid w:val="00B00A47"/>
    <w:rsid w:val="00B44140"/>
    <w:rsid w:val="00B8652B"/>
    <w:rsid w:val="00BA09BE"/>
    <w:rsid w:val="00BF1B28"/>
    <w:rsid w:val="00C17012"/>
    <w:rsid w:val="00C26971"/>
    <w:rsid w:val="00C82A72"/>
    <w:rsid w:val="00C832A1"/>
    <w:rsid w:val="00C84C0E"/>
    <w:rsid w:val="00C959D9"/>
    <w:rsid w:val="00C96B6F"/>
    <w:rsid w:val="00CE484C"/>
    <w:rsid w:val="00CF69A7"/>
    <w:rsid w:val="00D07E41"/>
    <w:rsid w:val="00D12A48"/>
    <w:rsid w:val="00D554E7"/>
    <w:rsid w:val="00D62BB7"/>
    <w:rsid w:val="00D908B5"/>
    <w:rsid w:val="00D937B3"/>
    <w:rsid w:val="00DE73E1"/>
    <w:rsid w:val="00DF3002"/>
    <w:rsid w:val="00E121AD"/>
    <w:rsid w:val="00E70FBA"/>
    <w:rsid w:val="00EE026D"/>
    <w:rsid w:val="00EF055E"/>
    <w:rsid w:val="00F04441"/>
    <w:rsid w:val="00F50B56"/>
    <w:rsid w:val="00F5607A"/>
    <w:rsid w:val="00F6428B"/>
    <w:rsid w:val="00F91EDD"/>
    <w:rsid w:val="00FF7AFF"/>
    <w:rsid w:val="02424CCA"/>
    <w:rsid w:val="04E51161"/>
    <w:rsid w:val="063A731D"/>
    <w:rsid w:val="063B422B"/>
    <w:rsid w:val="08E45AD8"/>
    <w:rsid w:val="0BCA25A9"/>
    <w:rsid w:val="13C418C0"/>
    <w:rsid w:val="15575F5F"/>
    <w:rsid w:val="1B06722E"/>
    <w:rsid w:val="1BB76C7F"/>
    <w:rsid w:val="25D03F6C"/>
    <w:rsid w:val="275814FC"/>
    <w:rsid w:val="29C443A6"/>
    <w:rsid w:val="30004E27"/>
    <w:rsid w:val="312132A7"/>
    <w:rsid w:val="31624EAB"/>
    <w:rsid w:val="32D130D6"/>
    <w:rsid w:val="362D0E23"/>
    <w:rsid w:val="3E7B22AA"/>
    <w:rsid w:val="40A86BF9"/>
    <w:rsid w:val="48E620AA"/>
    <w:rsid w:val="4AB30136"/>
    <w:rsid w:val="4AC81ACA"/>
    <w:rsid w:val="4D804EF9"/>
    <w:rsid w:val="4FD02810"/>
    <w:rsid w:val="5064022F"/>
    <w:rsid w:val="51D22FCC"/>
    <w:rsid w:val="5B7119E9"/>
    <w:rsid w:val="5C3F122A"/>
    <w:rsid w:val="5F7B7039"/>
    <w:rsid w:val="619423B2"/>
    <w:rsid w:val="667473F9"/>
    <w:rsid w:val="69B42010"/>
    <w:rsid w:val="6DFE7515"/>
    <w:rsid w:val="6E587F3F"/>
    <w:rsid w:val="6EA01AB5"/>
    <w:rsid w:val="6F2C7EF4"/>
    <w:rsid w:val="6F6C4D08"/>
    <w:rsid w:val="780D49F7"/>
    <w:rsid w:val="7BBF851E"/>
    <w:rsid w:val="7BFA2FCE"/>
    <w:rsid w:val="7D5C7B1D"/>
    <w:rsid w:val="7E9C0F50"/>
    <w:rsid w:val="7FFADD74"/>
    <w:rsid w:val="95FDD760"/>
    <w:rsid w:val="9BEB9EF9"/>
    <w:rsid w:val="ACEFFE83"/>
    <w:rsid w:val="BF8F0CAA"/>
    <w:rsid w:val="C7D6B7F7"/>
    <w:rsid w:val="DFBB7B55"/>
    <w:rsid w:val="DFFF075F"/>
    <w:rsid w:val="FBDF29D7"/>
    <w:rsid w:val="FED37064"/>
    <w:rsid w:val="FFD7913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2"/>
    <w:basedOn w:val="1"/>
    <w:next w:val="1"/>
    <w:unhideWhenUsed/>
    <w:qFormat/>
    <w:uiPriority w:val="9"/>
    <w:pPr>
      <w:spacing w:line="320" w:lineRule="exact"/>
      <w:ind w:firstLine="360" w:firstLineChars="200"/>
      <w:jc w:val="left"/>
      <w:outlineLvl w:val="1"/>
    </w:pPr>
    <w:rPr>
      <w:rFonts w:cstheme="majorBidi"/>
      <w:sz w:val="18"/>
      <w:szCs w:val="18"/>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14"/>
    <w:qFormat/>
    <w:uiPriority w:val="0"/>
    <w:pPr>
      <w:jc w:val="left"/>
    </w:pPr>
  </w:style>
  <w:style w:type="paragraph" w:styleId="4">
    <w:name w:val="Body Text"/>
    <w:basedOn w:val="1"/>
    <w:link w:val="13"/>
    <w:qFormat/>
    <w:uiPriority w:val="0"/>
    <w:pPr>
      <w:spacing w:after="120"/>
    </w:pPr>
  </w:style>
  <w:style w:type="paragraph" w:styleId="5">
    <w:name w:val="footer"/>
    <w:basedOn w:val="1"/>
    <w:link w:val="12"/>
    <w:qFormat/>
    <w:uiPriority w:val="99"/>
    <w:pPr>
      <w:tabs>
        <w:tab w:val="center" w:pos="4153"/>
        <w:tab w:val="right" w:pos="8306"/>
      </w:tabs>
      <w:snapToGrid w:val="0"/>
      <w:jc w:val="left"/>
    </w:pPr>
    <w:rPr>
      <w:sz w:val="18"/>
      <w:szCs w:val="18"/>
    </w:rPr>
  </w:style>
  <w:style w:type="paragraph" w:styleId="6">
    <w:name w:val="header"/>
    <w:basedOn w:val="1"/>
    <w:link w:val="11"/>
    <w:qFormat/>
    <w:uiPriority w:val="0"/>
    <w:pPr>
      <w:pBdr>
        <w:bottom w:val="single" w:color="auto" w:sz="6" w:space="1"/>
      </w:pBdr>
      <w:tabs>
        <w:tab w:val="center" w:pos="4153"/>
        <w:tab w:val="right" w:pos="8306"/>
      </w:tabs>
      <w:snapToGrid w:val="0"/>
      <w:jc w:val="center"/>
    </w:pPr>
    <w:rPr>
      <w:sz w:val="18"/>
      <w:szCs w:val="18"/>
    </w:rPr>
  </w:style>
  <w:style w:type="paragraph" w:styleId="7">
    <w:name w:val="HTML Preformatted"/>
    <w:basedOn w:val="1"/>
    <w:link w:val="15"/>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rPr>
  </w:style>
  <w:style w:type="paragraph" w:styleId="8">
    <w:name w:val="Body Text First Indent"/>
    <w:basedOn w:val="4"/>
    <w:link w:val="16"/>
    <w:qFormat/>
    <w:uiPriority w:val="0"/>
    <w:pPr>
      <w:spacing w:after="0"/>
      <w:ind w:firstLine="200" w:firstLineChars="200"/>
    </w:pPr>
    <w:rPr>
      <w:kern w:val="0"/>
      <w:sz w:val="24"/>
    </w:rPr>
  </w:style>
  <w:style w:type="character" w:customStyle="1" w:styleId="11">
    <w:name w:val="页眉 Char"/>
    <w:basedOn w:val="10"/>
    <w:link w:val="6"/>
    <w:qFormat/>
    <w:uiPriority w:val="0"/>
    <w:rPr>
      <w:kern w:val="2"/>
      <w:sz w:val="18"/>
      <w:szCs w:val="18"/>
    </w:rPr>
  </w:style>
  <w:style w:type="character" w:customStyle="1" w:styleId="12">
    <w:name w:val="页脚 Char"/>
    <w:basedOn w:val="10"/>
    <w:link w:val="5"/>
    <w:qFormat/>
    <w:uiPriority w:val="99"/>
    <w:rPr>
      <w:kern w:val="2"/>
      <w:sz w:val="18"/>
      <w:szCs w:val="18"/>
    </w:rPr>
  </w:style>
  <w:style w:type="character" w:customStyle="1" w:styleId="13">
    <w:name w:val="正文文本 Char"/>
    <w:basedOn w:val="10"/>
    <w:link w:val="4"/>
    <w:qFormat/>
    <w:uiPriority w:val="0"/>
    <w:rPr>
      <w:kern w:val="2"/>
      <w:sz w:val="21"/>
      <w:szCs w:val="24"/>
    </w:rPr>
  </w:style>
  <w:style w:type="character" w:customStyle="1" w:styleId="14">
    <w:name w:val="批注文字 Char"/>
    <w:basedOn w:val="10"/>
    <w:link w:val="3"/>
    <w:qFormat/>
    <w:uiPriority w:val="0"/>
    <w:rPr>
      <w:kern w:val="2"/>
      <w:sz w:val="21"/>
      <w:szCs w:val="24"/>
    </w:rPr>
  </w:style>
  <w:style w:type="character" w:customStyle="1" w:styleId="15">
    <w:name w:val="HTML 预设格式 Char"/>
    <w:basedOn w:val="10"/>
    <w:link w:val="7"/>
    <w:qFormat/>
    <w:uiPriority w:val="0"/>
    <w:rPr>
      <w:rFonts w:ascii="宋体" w:hAnsi="宋体"/>
      <w:sz w:val="24"/>
      <w:szCs w:val="24"/>
    </w:rPr>
  </w:style>
  <w:style w:type="character" w:customStyle="1" w:styleId="16">
    <w:name w:val="正文首行缩进 Char"/>
    <w:basedOn w:val="13"/>
    <w:link w:val="8"/>
    <w:qFormat/>
    <w:uiPriority w:val="0"/>
    <w:rPr>
      <w:kern w:val="2"/>
      <w:sz w:val="24"/>
      <w:szCs w:val="24"/>
    </w:rPr>
  </w:style>
  <w:style w:type="paragraph" w:styleId="17">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E8885A-6358-4A8D-9E4D-9EF4E492471E}">
  <ds:schemaRefs/>
</ds:datastoreItem>
</file>

<file path=docProps/app.xml><?xml version="1.0" encoding="utf-8"?>
<Properties xmlns="http://schemas.openxmlformats.org/officeDocument/2006/extended-properties" xmlns:vt="http://schemas.openxmlformats.org/officeDocument/2006/docPropsVTypes">
  <Template>Normal</Template>
  <Pages>108</Pages>
  <Words>3844</Words>
  <Characters>3972</Characters>
  <Lines>625</Lines>
  <Paragraphs>176</Paragraphs>
  <TotalTime>28</TotalTime>
  <ScaleCrop>false</ScaleCrop>
  <LinksUpToDate>false</LinksUpToDate>
  <CharactersWithSpaces>4113</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2024-06-11T02:30:00Z</dcterms:created>
  <dc:creator>sugou</dc:creator>
  <cp:lastModifiedBy>炸脑花</cp:lastModifiedBy>
  <cp:lastPrinted>2026-03-27T06:07:00Z</cp:lastPrinted>
  <dcterms:modified xsi:type="dcterms:W3CDTF">2026-03-27T07:06:35Z</dcterms:modified>
  <cp:revision>36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1E09F934450D440A9AE4EF470D16436A_13</vt:lpwstr>
  </property>
  <property fmtid="{D5CDD505-2E9C-101B-9397-08002B2CF9AE}" pid="4" name="KSOTemplateDocerSaveRecord">
    <vt:lpwstr>eyJoZGlkIjoiZDBjMjA5ZDAzY2FmZjAzNGU1NzM2NzlmZjM3YTkyNWQiLCJ1c2VySWQiOiIxNTIxMzY3NDI2In0=</vt:lpwstr>
  </property>
</Properties>
</file>